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2F" w:rsidRDefault="00E91B3D">
      <w:pPr>
        <w:pStyle w:val="TitleLine"/>
        <w:rPr>
          <w:lang w:val="en-US"/>
        </w:rPr>
      </w:pPr>
      <w:bookmarkStart w:id="0" w:name="_GoBack"/>
      <w:bookmarkEnd w:id="0"/>
      <w:r w:rsidRPr="00E91B3D">
        <w:rPr>
          <w:lang w:val="en-US"/>
        </w:rPr>
        <w:t>Terpene Biosynthesis as Inspiration for Supramolecular Catalysis</w:t>
      </w:r>
    </w:p>
    <w:p w:rsidR="00AF7D84" w:rsidRPr="00167294" w:rsidRDefault="00AF7D84">
      <w:pPr>
        <w:pStyle w:val="TitleLine"/>
        <w:rPr>
          <w:lang w:val="en-US"/>
        </w:rPr>
      </w:pPr>
    </w:p>
    <w:p w:rsidR="00AF7D84" w:rsidRDefault="00AF7D84">
      <w:pPr>
        <w:pStyle w:val="authorsandaffiliations"/>
        <w:rPr>
          <w:lang w:val="en-US"/>
        </w:rPr>
      </w:pPr>
      <w:r w:rsidRPr="00AF7D84">
        <w:rPr>
          <w:lang w:val="en-US"/>
        </w:rPr>
        <w:t>Prof. Konrad Tiefenbacher</w:t>
      </w:r>
    </w:p>
    <w:p w:rsidR="00167294" w:rsidRDefault="00AF7D84">
      <w:pPr>
        <w:pStyle w:val="authorsandaffiliations"/>
        <w:rPr>
          <w:lang w:val="en-US"/>
        </w:rPr>
      </w:pPr>
      <w:r w:rsidRPr="00AF7D84">
        <w:rPr>
          <w:lang w:val="en-US"/>
        </w:rPr>
        <w:t>University of Basel, Department of Chemistry, S</w:t>
      </w:r>
      <w:r>
        <w:rPr>
          <w:lang w:val="en-US"/>
        </w:rPr>
        <w:t xml:space="preserve">t. </w:t>
      </w:r>
      <w:proofErr w:type="spellStart"/>
      <w:r>
        <w:rPr>
          <w:lang w:val="en-US"/>
        </w:rPr>
        <w:t>Johanns</w:t>
      </w:r>
      <w:proofErr w:type="spellEnd"/>
      <w:r>
        <w:rPr>
          <w:lang w:val="en-US"/>
        </w:rPr>
        <w:t xml:space="preserve">-Ring 19, 4056 Basel &amp; </w:t>
      </w:r>
      <w:r w:rsidRPr="00AF7D84">
        <w:rPr>
          <w:lang w:val="en-US"/>
        </w:rPr>
        <w:t xml:space="preserve">ETH Zurich, Department of </w:t>
      </w:r>
      <w:proofErr w:type="spellStart"/>
      <w:r w:rsidRPr="00AF7D84">
        <w:rPr>
          <w:lang w:val="en-US"/>
        </w:rPr>
        <w:t>Biosystems</w:t>
      </w:r>
      <w:proofErr w:type="spellEnd"/>
      <w:r w:rsidRPr="00AF7D84">
        <w:rPr>
          <w:lang w:val="en-US"/>
        </w:rPr>
        <w:t xml:space="preserve"> Science and Engineering, </w:t>
      </w:r>
      <w:proofErr w:type="spellStart"/>
      <w:r w:rsidRPr="00AF7D84">
        <w:rPr>
          <w:lang w:val="en-US"/>
        </w:rPr>
        <w:t>Mattenstrasse</w:t>
      </w:r>
      <w:proofErr w:type="spellEnd"/>
      <w:r w:rsidRPr="00AF7D84">
        <w:rPr>
          <w:lang w:val="en-US"/>
        </w:rPr>
        <w:t xml:space="preserve"> 26, 4058 Basel, Switzerland.</w:t>
      </w:r>
      <w:r w:rsidR="00167294">
        <w:rPr>
          <w:lang w:val="en-US"/>
        </w:rPr>
        <w:t xml:space="preserve"> </w:t>
      </w:r>
    </w:p>
    <w:p w:rsidR="00AF7D84" w:rsidRDefault="00AF7D84">
      <w:pPr>
        <w:pStyle w:val="authorsandaffiliations"/>
        <w:rPr>
          <w:lang w:val="en-US"/>
        </w:rPr>
      </w:pPr>
    </w:p>
    <w:p w:rsidR="00AF7D84" w:rsidRPr="00AF7D84" w:rsidRDefault="00AF7D84" w:rsidP="00AF7D84">
      <w:pPr>
        <w:pStyle w:val="BodyText"/>
        <w:rPr>
          <w:bCs/>
          <w:lang w:val="en-US"/>
        </w:rPr>
      </w:pPr>
      <w:r w:rsidRPr="00AF7D84">
        <w:rPr>
          <w:bCs/>
          <w:lang w:val="en-US"/>
        </w:rPr>
        <w:t xml:space="preserve">Nature’s extraordinary elegance when performing chemical reactions has fascinated and inspired chemists for decades. Arguably, one of the most complex organic transformations performed in living organisms, is the tail-to-head terpene (THT) cyclization.[1,2] It allows the construction of the most diverse class of natural products, namely terpenes, </w:t>
      </w:r>
      <w:r w:rsidRPr="00700111">
        <w:rPr>
          <w:bCs/>
          <w:i/>
          <w:lang w:val="en-US"/>
        </w:rPr>
        <w:t>via</w:t>
      </w:r>
      <w:r w:rsidRPr="00AF7D84">
        <w:rPr>
          <w:bCs/>
          <w:lang w:val="en-US"/>
        </w:rPr>
        <w:t xml:space="preserve"> nature’s way of combinatorial chemical synthesis. Thousands of different natural products are formed from just a handful of simple, acyclic starting materials: geranyl pyrophosphate (monoterpenes), farnesyl-PP (sesquiterpenes) and geranylgeranyl-PP (</w:t>
      </w:r>
      <w:proofErr w:type="spellStart"/>
      <w:r w:rsidRPr="00AF7D84">
        <w:rPr>
          <w:bCs/>
          <w:lang w:val="en-US"/>
        </w:rPr>
        <w:t>diterpenes</w:t>
      </w:r>
      <w:proofErr w:type="spellEnd"/>
      <w:r w:rsidRPr="00AF7D84">
        <w:rPr>
          <w:bCs/>
          <w:lang w:val="en-US"/>
        </w:rPr>
        <w:t xml:space="preserve">). Nature utilizes enzymes, termed </w:t>
      </w:r>
      <w:proofErr w:type="spellStart"/>
      <w:r w:rsidRPr="00AF7D84">
        <w:rPr>
          <w:bCs/>
          <w:lang w:val="en-US"/>
        </w:rPr>
        <w:t>cyclases</w:t>
      </w:r>
      <w:proofErr w:type="spellEnd"/>
      <w:r w:rsidRPr="00AF7D84">
        <w:rPr>
          <w:bCs/>
          <w:lang w:val="en-US"/>
        </w:rPr>
        <w:t xml:space="preserve"> or terpene synthases, to carry out this complex transformation. Building upon our initial results</w:t>
      </w:r>
      <w:proofErr w:type="gramStart"/>
      <w:r w:rsidRPr="00AF7D84">
        <w:rPr>
          <w:bCs/>
          <w:lang w:val="en-US"/>
        </w:rPr>
        <w:t>,[</w:t>
      </w:r>
      <w:proofErr w:type="gramEnd"/>
      <w:r w:rsidRPr="00AF7D84">
        <w:rPr>
          <w:bCs/>
          <w:lang w:val="en-US"/>
        </w:rPr>
        <w:t>3,4</w:t>
      </w:r>
      <w:r>
        <w:rPr>
          <w:bCs/>
          <w:lang w:val="en-US"/>
        </w:rPr>
        <w:t>,5</w:t>
      </w:r>
      <w:r w:rsidRPr="00AF7D84">
        <w:rPr>
          <w:bCs/>
          <w:lang w:val="en-US"/>
        </w:rPr>
        <w:t>] we explore possibilities to utilize supramolecular structures to mimic such complex transformations in the laboratory. The latest results in this direction will be presented.</w:t>
      </w:r>
    </w:p>
    <w:p w:rsidR="00AF7D84" w:rsidRPr="00AF7D84" w:rsidRDefault="00AF7D84" w:rsidP="00AF7D84">
      <w:pPr>
        <w:pStyle w:val="BodyText"/>
        <w:jc w:val="center"/>
        <w:rPr>
          <w:bCs/>
          <w:lang w:val="en-US"/>
        </w:rPr>
      </w:pPr>
    </w:p>
    <w:p w:rsidR="00AF7D84" w:rsidRPr="00700111" w:rsidRDefault="00AF7D84" w:rsidP="00AF7D84">
      <w:pPr>
        <w:pStyle w:val="BodyText"/>
        <w:rPr>
          <w:bCs/>
        </w:rPr>
      </w:pPr>
      <w:r w:rsidRPr="00700111">
        <w:rPr>
          <w:bCs/>
        </w:rPr>
        <w:t>[1]</w:t>
      </w:r>
      <w:r w:rsidRPr="00700111">
        <w:rPr>
          <w:bCs/>
        </w:rPr>
        <w:tab/>
        <w:t xml:space="preserve">S. V. Pronin, R. A. Shenvi </w:t>
      </w:r>
      <w:r w:rsidRPr="00700111">
        <w:rPr>
          <w:bCs/>
          <w:i/>
        </w:rPr>
        <w:t>Nature Chem.</w:t>
      </w:r>
      <w:r w:rsidRPr="00700111">
        <w:rPr>
          <w:bCs/>
        </w:rPr>
        <w:t xml:space="preserve"> </w:t>
      </w:r>
      <w:r w:rsidRPr="00700111">
        <w:rPr>
          <w:b/>
          <w:bCs/>
        </w:rPr>
        <w:t>2012</w:t>
      </w:r>
      <w:r w:rsidRPr="00700111">
        <w:rPr>
          <w:bCs/>
        </w:rPr>
        <w:t xml:space="preserve">, </w:t>
      </w:r>
      <w:r w:rsidRPr="00700111">
        <w:rPr>
          <w:bCs/>
          <w:i/>
        </w:rPr>
        <w:t>4</w:t>
      </w:r>
      <w:r w:rsidRPr="00700111">
        <w:rPr>
          <w:bCs/>
        </w:rPr>
        <w:t>, 915.</w:t>
      </w:r>
    </w:p>
    <w:p w:rsidR="00AF7D84" w:rsidRPr="00AF7D84" w:rsidRDefault="00AF7D84" w:rsidP="00AF7D84">
      <w:pPr>
        <w:pStyle w:val="BodyText"/>
        <w:rPr>
          <w:bCs/>
          <w:lang w:val="de-CH"/>
        </w:rPr>
      </w:pPr>
      <w:r w:rsidRPr="00AF7D84">
        <w:rPr>
          <w:bCs/>
          <w:lang w:val="de-CH"/>
        </w:rPr>
        <w:t>[2]</w:t>
      </w:r>
      <w:r w:rsidRPr="00AF7D84">
        <w:rPr>
          <w:bCs/>
          <w:lang w:val="de-CH"/>
        </w:rPr>
        <w:tab/>
        <w:t xml:space="preserve">D. J. Miller, R. K. Allemann </w:t>
      </w:r>
      <w:r w:rsidRPr="00AF7D84">
        <w:rPr>
          <w:bCs/>
          <w:i/>
          <w:lang w:val="de-CH"/>
        </w:rPr>
        <w:t>Nat. Prod. Rep.</w:t>
      </w:r>
      <w:r w:rsidRPr="00AF7D84">
        <w:rPr>
          <w:bCs/>
          <w:lang w:val="de-CH"/>
        </w:rPr>
        <w:t xml:space="preserve"> </w:t>
      </w:r>
      <w:r w:rsidRPr="00AF7D84">
        <w:rPr>
          <w:b/>
          <w:bCs/>
          <w:lang w:val="de-CH"/>
        </w:rPr>
        <w:t>2012</w:t>
      </w:r>
      <w:r w:rsidRPr="00AF7D84">
        <w:rPr>
          <w:bCs/>
          <w:lang w:val="de-CH"/>
        </w:rPr>
        <w:t xml:space="preserve">, </w:t>
      </w:r>
      <w:r w:rsidRPr="00AF7D84">
        <w:rPr>
          <w:bCs/>
          <w:i/>
          <w:lang w:val="de-CH"/>
        </w:rPr>
        <w:t>29</w:t>
      </w:r>
      <w:r w:rsidRPr="00AF7D84">
        <w:rPr>
          <w:bCs/>
          <w:lang w:val="de-CH"/>
        </w:rPr>
        <w:t>, 60.</w:t>
      </w:r>
    </w:p>
    <w:p w:rsidR="00AF7D84" w:rsidRPr="00AF7D84" w:rsidRDefault="00AF7D84" w:rsidP="00AF7D84">
      <w:pPr>
        <w:pStyle w:val="BodyText"/>
        <w:rPr>
          <w:bCs/>
          <w:lang w:val="de-CH"/>
        </w:rPr>
      </w:pPr>
      <w:r w:rsidRPr="00AF7D84">
        <w:rPr>
          <w:bCs/>
          <w:lang w:val="de-CH"/>
        </w:rPr>
        <w:t>[3]</w:t>
      </w:r>
      <w:r w:rsidRPr="00AF7D84">
        <w:rPr>
          <w:bCs/>
          <w:lang w:val="de-CH"/>
        </w:rPr>
        <w:tab/>
        <w:t xml:space="preserve">Q. Zhang, K. Tiefenbacher </w:t>
      </w:r>
      <w:r w:rsidRPr="00AF7D84">
        <w:rPr>
          <w:bCs/>
          <w:i/>
          <w:lang w:val="de-CH"/>
        </w:rPr>
        <w:t>J. Am. Chem. Soc.</w:t>
      </w:r>
      <w:r w:rsidRPr="00AF7D84">
        <w:rPr>
          <w:bCs/>
          <w:lang w:val="de-CH"/>
        </w:rPr>
        <w:t xml:space="preserve"> </w:t>
      </w:r>
      <w:r w:rsidRPr="00AF7D84">
        <w:rPr>
          <w:b/>
          <w:bCs/>
          <w:lang w:val="de-CH"/>
        </w:rPr>
        <w:t>2013</w:t>
      </w:r>
      <w:r w:rsidRPr="00AF7D84">
        <w:rPr>
          <w:bCs/>
          <w:lang w:val="de-CH"/>
        </w:rPr>
        <w:t xml:space="preserve">, </w:t>
      </w:r>
      <w:r w:rsidRPr="00AF7D84">
        <w:rPr>
          <w:bCs/>
          <w:i/>
          <w:lang w:val="de-CH"/>
        </w:rPr>
        <w:t>135</w:t>
      </w:r>
      <w:r w:rsidRPr="00AF7D84">
        <w:rPr>
          <w:bCs/>
          <w:lang w:val="de-CH"/>
        </w:rPr>
        <w:t>, 16213.</w:t>
      </w:r>
    </w:p>
    <w:p w:rsidR="00AF7D84" w:rsidRDefault="00AF7D84" w:rsidP="00AF7D84">
      <w:pPr>
        <w:pStyle w:val="BodyText"/>
        <w:rPr>
          <w:bCs/>
          <w:lang w:val="de-CH"/>
        </w:rPr>
      </w:pPr>
      <w:r w:rsidRPr="00AF7D84">
        <w:rPr>
          <w:bCs/>
          <w:lang w:val="de-CH"/>
        </w:rPr>
        <w:t>[4]</w:t>
      </w:r>
      <w:r w:rsidRPr="00AF7D84">
        <w:rPr>
          <w:bCs/>
          <w:lang w:val="de-CH"/>
        </w:rPr>
        <w:tab/>
        <w:t xml:space="preserve">Q. Zhang, K. Tiefenbacher </w:t>
      </w:r>
      <w:r w:rsidRPr="00AF7D84">
        <w:rPr>
          <w:bCs/>
          <w:i/>
          <w:lang w:val="de-CH"/>
        </w:rPr>
        <w:t>Nature Chem.</w:t>
      </w:r>
      <w:r w:rsidRPr="00AF7D84">
        <w:rPr>
          <w:bCs/>
          <w:lang w:val="de-CH"/>
        </w:rPr>
        <w:t xml:space="preserve"> </w:t>
      </w:r>
      <w:r w:rsidRPr="00AF7D84">
        <w:rPr>
          <w:b/>
          <w:bCs/>
          <w:lang w:val="de-CH"/>
        </w:rPr>
        <w:t>2015</w:t>
      </w:r>
      <w:r w:rsidRPr="00AF7D84">
        <w:rPr>
          <w:bCs/>
          <w:lang w:val="de-CH"/>
        </w:rPr>
        <w:t xml:space="preserve">, </w:t>
      </w:r>
      <w:r w:rsidRPr="00AF7D84">
        <w:rPr>
          <w:bCs/>
          <w:i/>
          <w:lang w:val="de-CH"/>
        </w:rPr>
        <w:t>7</w:t>
      </w:r>
      <w:r w:rsidRPr="00AF7D84">
        <w:rPr>
          <w:bCs/>
          <w:lang w:val="de-CH"/>
        </w:rPr>
        <w:t>, 197.</w:t>
      </w:r>
    </w:p>
    <w:p w:rsidR="00AF7D84" w:rsidRPr="00AF7D84" w:rsidRDefault="00AF7D84" w:rsidP="00AF7D84">
      <w:pPr>
        <w:pStyle w:val="BodyText"/>
        <w:rPr>
          <w:bCs/>
          <w:lang w:val="de-CH"/>
        </w:rPr>
      </w:pPr>
      <w:r>
        <w:rPr>
          <w:bCs/>
          <w:lang w:val="de-CH"/>
        </w:rPr>
        <w:t xml:space="preserve">[5] </w:t>
      </w:r>
      <w:r>
        <w:rPr>
          <w:bCs/>
          <w:lang w:val="de-CH"/>
        </w:rPr>
        <w:tab/>
        <w:t xml:space="preserve">Q. </w:t>
      </w:r>
      <w:r>
        <w:t xml:space="preserve">Zhang, L. Catti, J. Pleiss, K. Tiefenbacher </w:t>
      </w:r>
      <w:r>
        <w:rPr>
          <w:rStyle w:val="Emphasis"/>
        </w:rPr>
        <w:t>J. Am. Chem. Soc.</w:t>
      </w:r>
      <w:r>
        <w:t xml:space="preserve"> </w:t>
      </w:r>
      <w:r>
        <w:rPr>
          <w:rStyle w:val="Strong"/>
        </w:rPr>
        <w:t>2017</w:t>
      </w:r>
      <w:r>
        <w:t xml:space="preserve">, </w:t>
      </w:r>
      <w:r>
        <w:rPr>
          <w:rStyle w:val="citationvolume"/>
          <w:i/>
          <w:iCs/>
        </w:rPr>
        <w:t>139</w:t>
      </w:r>
      <w:r>
        <w:t>, 11482</w:t>
      </w:r>
    </w:p>
    <w:p w:rsidR="00167294" w:rsidRPr="00AF7D84" w:rsidRDefault="00167294" w:rsidP="00AF7D84">
      <w:pPr>
        <w:pStyle w:val="BodyText"/>
      </w:pPr>
    </w:p>
    <w:p w:rsidR="004D402F" w:rsidRPr="00AF7D84" w:rsidRDefault="004D402F" w:rsidP="00167294">
      <w:pPr>
        <w:pStyle w:val="BodyText"/>
      </w:pPr>
    </w:p>
    <w:sectPr w:rsidR="004D402F" w:rsidRPr="00AF7D84" w:rsidSect="004D402F">
      <w:type w:val="continuous"/>
      <w:pgSz w:w="11907" w:h="16840" w:code="9"/>
      <w:pgMar w:top="1418" w:right="1418" w:bottom="1418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no Pro"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94"/>
    <w:rsid w:val="00167294"/>
    <w:rsid w:val="004D402F"/>
    <w:rsid w:val="00700111"/>
    <w:rsid w:val="008D6F19"/>
    <w:rsid w:val="00AF7D84"/>
    <w:rsid w:val="00CA0794"/>
    <w:rsid w:val="00E9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EADAE2-590A-42C4-A531-3745FB71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02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Line">
    <w:name w:val="Title Line"/>
    <w:basedOn w:val="Normal"/>
    <w:rsid w:val="004D402F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uthorsandaffiliations">
    <w:name w:val="authors and affiliations"/>
    <w:basedOn w:val="Normal"/>
    <w:rsid w:val="004D402F"/>
    <w:pPr>
      <w:overflowPunct/>
      <w:autoSpaceDE/>
      <w:autoSpaceDN/>
      <w:adjustRightInd/>
      <w:jc w:val="center"/>
      <w:textAlignment w:val="auto"/>
    </w:pPr>
    <w:rPr>
      <w:i/>
      <w:iCs/>
    </w:rPr>
  </w:style>
  <w:style w:type="paragraph" w:styleId="BodyText">
    <w:name w:val="Body Text"/>
    <w:basedOn w:val="Normal"/>
    <w:semiHidden/>
    <w:rsid w:val="004D402F"/>
    <w:pPr>
      <w:overflowPunct/>
      <w:autoSpaceDE/>
      <w:autoSpaceDN/>
      <w:adjustRightInd/>
      <w:jc w:val="both"/>
      <w:textAlignment w:val="auto"/>
    </w:pPr>
  </w:style>
  <w:style w:type="paragraph" w:customStyle="1" w:styleId="Subheading">
    <w:name w:val="Subheading"/>
    <w:basedOn w:val="Normal"/>
    <w:rsid w:val="004D402F"/>
    <w:pPr>
      <w:overflowPunct/>
      <w:autoSpaceDE/>
      <w:autoSpaceDN/>
      <w:adjustRightInd/>
      <w:spacing w:before="120"/>
      <w:textAlignment w:val="auto"/>
      <w:outlineLvl w:val="1"/>
    </w:pPr>
    <w:rPr>
      <w:b/>
      <w:bCs/>
    </w:rPr>
  </w:style>
  <w:style w:type="paragraph" w:customStyle="1" w:styleId="Headline">
    <w:name w:val="Headline"/>
    <w:basedOn w:val="Normal"/>
    <w:rsid w:val="004D402F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styleId="Header">
    <w:name w:val="header"/>
    <w:basedOn w:val="Normal"/>
    <w:semiHidden/>
    <w:rsid w:val="004D40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4D402F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next w:val="Normal"/>
    <w:link w:val="FootnoteTextChar"/>
    <w:semiHidden/>
    <w:rsid w:val="00AF7D84"/>
    <w:pPr>
      <w:overflowPunct/>
      <w:autoSpaceDE/>
      <w:autoSpaceDN/>
      <w:adjustRightInd/>
      <w:spacing w:after="200" w:line="240" w:lineRule="auto"/>
      <w:jc w:val="both"/>
      <w:textAlignment w:val="auto"/>
    </w:pPr>
    <w:rPr>
      <w:rFonts w:ascii="Times" w:eastAsiaTheme="minorEastAsia" w:hAnsi="Times" w:cs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F7D84"/>
    <w:rPr>
      <w:rFonts w:ascii="Times" w:eastAsiaTheme="minorEastAsia" w:hAnsi="Times"/>
      <w:sz w:val="24"/>
      <w:lang w:val="en-US" w:eastAsia="en-US"/>
    </w:rPr>
  </w:style>
  <w:style w:type="paragraph" w:customStyle="1" w:styleId="TAMainText">
    <w:name w:val="TA_Main_Text"/>
    <w:basedOn w:val="Normal"/>
    <w:link w:val="TAMainTextZchn"/>
    <w:autoRedefine/>
    <w:rsid w:val="00AF7D84"/>
    <w:pPr>
      <w:overflowPunct/>
      <w:autoSpaceDE/>
      <w:autoSpaceDN/>
      <w:adjustRightInd/>
      <w:spacing w:before="120" w:after="120" w:line="240" w:lineRule="auto"/>
      <w:jc w:val="both"/>
      <w:textAlignment w:val="auto"/>
    </w:pPr>
    <w:rPr>
      <w:rFonts w:ascii="Arno Pro" w:eastAsiaTheme="minorEastAsia" w:hAnsi="Arno Pro" w:cs="Times New Roman"/>
      <w:kern w:val="21"/>
      <w:sz w:val="19"/>
      <w:szCs w:val="19"/>
      <w:lang w:val="en-GB" w:eastAsia="en-US"/>
    </w:rPr>
  </w:style>
  <w:style w:type="character" w:customStyle="1" w:styleId="TAMainTextZchn">
    <w:name w:val="TA_Main_Text Zchn"/>
    <w:basedOn w:val="DefaultParagraphFont"/>
    <w:link w:val="TAMainText"/>
    <w:rsid w:val="00AF7D84"/>
    <w:rPr>
      <w:rFonts w:ascii="Arno Pro" w:eastAsiaTheme="minorEastAsia" w:hAnsi="Arno Pro"/>
      <w:kern w:val="21"/>
      <w:sz w:val="19"/>
      <w:szCs w:val="19"/>
      <w:lang w:val="en-GB" w:eastAsia="en-US"/>
    </w:rPr>
  </w:style>
  <w:style w:type="character" w:styleId="Emphasis">
    <w:name w:val="Emphasis"/>
    <w:basedOn w:val="DefaultParagraphFont"/>
    <w:uiPriority w:val="20"/>
    <w:qFormat/>
    <w:rsid w:val="00AF7D84"/>
    <w:rPr>
      <w:i/>
      <w:iCs/>
    </w:rPr>
  </w:style>
  <w:style w:type="character" w:styleId="Strong">
    <w:name w:val="Strong"/>
    <w:basedOn w:val="DefaultParagraphFont"/>
    <w:uiPriority w:val="22"/>
    <w:qFormat/>
    <w:rsid w:val="00AF7D84"/>
    <w:rPr>
      <w:b/>
      <w:bCs/>
    </w:rPr>
  </w:style>
  <w:style w:type="character" w:customStyle="1" w:styleId="citationvolume">
    <w:name w:val="citation_volume"/>
    <w:basedOn w:val="DefaultParagraphFont"/>
    <w:rsid w:val="00AF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Normvorlage</vt:lpstr>
      <vt:lpstr>Normvorlage</vt:lpstr>
    </vt:vector>
  </TitlesOfParts>
  <Company>DECHEMA e.V.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creator>Dr. L. Nick</dc:creator>
  <cp:lastModifiedBy>Schwickrath, Helen L.</cp:lastModifiedBy>
  <cp:revision>2</cp:revision>
  <dcterms:created xsi:type="dcterms:W3CDTF">2018-06-07T13:37:00Z</dcterms:created>
  <dcterms:modified xsi:type="dcterms:W3CDTF">2018-06-07T13:37:00Z</dcterms:modified>
</cp:coreProperties>
</file>