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D5191" w14:textId="409A8EEA" w:rsidR="007843E2" w:rsidRPr="009F1513" w:rsidRDefault="009F1513" w:rsidP="009F1513">
      <w:pPr>
        <w:jc w:val="center"/>
        <w:rPr>
          <w:b/>
          <w:sz w:val="28"/>
          <w:szCs w:val="28"/>
          <w:lang w:val="en-US"/>
        </w:rPr>
      </w:pPr>
      <w:r w:rsidRPr="009F1513">
        <w:rPr>
          <w:b/>
          <w:sz w:val="28"/>
          <w:szCs w:val="28"/>
          <w:lang w:val="en-US"/>
        </w:rPr>
        <w:t>Chemistry and Biology of Freak Electrophiles and Hybrid Ionophores</w:t>
      </w:r>
    </w:p>
    <w:p w14:paraId="04698054" w14:textId="02146A80" w:rsidR="009F1513" w:rsidRDefault="009F1513" w:rsidP="009F1513">
      <w:pPr>
        <w:jc w:val="center"/>
        <w:rPr>
          <w:lang w:val="en-US"/>
        </w:rPr>
      </w:pPr>
      <w:r>
        <w:rPr>
          <w:lang w:val="en-US"/>
        </w:rPr>
        <w:t>Thomas B. Poulsen</w:t>
      </w:r>
    </w:p>
    <w:p w14:paraId="64465BE2" w14:textId="08B1C7E4" w:rsidR="009F1513" w:rsidRDefault="009F1513" w:rsidP="009F1513">
      <w:pPr>
        <w:jc w:val="center"/>
        <w:rPr>
          <w:lang w:val="en-US"/>
        </w:rPr>
      </w:pPr>
      <w:r>
        <w:rPr>
          <w:lang w:val="en-US"/>
        </w:rPr>
        <w:t>Department of Chemistry, Aarhus University</w:t>
      </w:r>
      <w:r w:rsidR="00C332CD">
        <w:rPr>
          <w:lang w:val="en-US"/>
        </w:rPr>
        <w:t>, Denmark</w:t>
      </w:r>
    </w:p>
    <w:p w14:paraId="785D2E69" w14:textId="77777777" w:rsidR="004209AD" w:rsidRDefault="004209AD" w:rsidP="009F1513">
      <w:pPr>
        <w:jc w:val="both"/>
        <w:rPr>
          <w:lang w:val="en-US"/>
        </w:rPr>
      </w:pPr>
      <w:bookmarkStart w:id="0" w:name="_GoBack"/>
      <w:bookmarkEnd w:id="0"/>
    </w:p>
    <w:p w14:paraId="580B3D2C" w14:textId="34D0D8A4" w:rsidR="00264133" w:rsidRDefault="009F1513" w:rsidP="009F1513">
      <w:pPr>
        <w:jc w:val="both"/>
        <w:rPr>
          <w:lang w:val="en-US"/>
        </w:rPr>
      </w:pPr>
      <w:r>
        <w:rPr>
          <w:lang w:val="en-US"/>
        </w:rPr>
        <w:t>Molecular out</w:t>
      </w:r>
      <w:r w:rsidR="00746983">
        <w:rPr>
          <w:lang w:val="en-US"/>
        </w:rPr>
        <w:t>casts</w:t>
      </w:r>
      <w:r w:rsidR="009419D3">
        <w:rPr>
          <w:lang w:val="en-US"/>
        </w:rPr>
        <w:t>.</w:t>
      </w:r>
      <w:r>
        <w:rPr>
          <w:lang w:val="en-US"/>
        </w:rPr>
        <w:t xml:space="preserve"> If such things exist, then prime candidates</w:t>
      </w:r>
      <w:r w:rsidR="005A2FF6">
        <w:rPr>
          <w:lang w:val="en-US"/>
        </w:rPr>
        <w:t xml:space="preserve"> - at least within the realm of medicinal chemistry -</w:t>
      </w:r>
      <w:r>
        <w:rPr>
          <w:lang w:val="en-US"/>
        </w:rPr>
        <w:t xml:space="preserve"> would be electrophiles and ionophores. Typical labels associated with the use of both electrophiles and ionophores in cellular systems are ‘pleiotropic’ and</w:t>
      </w:r>
      <w:r w:rsidR="00727508">
        <w:rPr>
          <w:lang w:val="en-US"/>
        </w:rPr>
        <w:t>/or</w:t>
      </w:r>
      <w:r>
        <w:rPr>
          <w:lang w:val="en-US"/>
        </w:rPr>
        <w:t xml:space="preserve"> ‘unspecific’</w:t>
      </w:r>
      <w:r w:rsidR="00BC6B59">
        <w:rPr>
          <w:lang w:val="en-US"/>
        </w:rPr>
        <w:t xml:space="preserve"> and most drug discovery campaigns filter these compounds out</w:t>
      </w:r>
      <w:r w:rsidR="00DF328F">
        <w:rPr>
          <w:lang w:val="en-US"/>
        </w:rPr>
        <w:t xml:space="preserve"> if possible</w:t>
      </w:r>
      <w:r w:rsidR="00BC6B59">
        <w:rPr>
          <w:lang w:val="en-US"/>
        </w:rPr>
        <w:t xml:space="preserve">. </w:t>
      </w:r>
      <w:r w:rsidR="006C5C0B">
        <w:rPr>
          <w:lang w:val="en-US"/>
        </w:rPr>
        <w:t>No doubt</w:t>
      </w:r>
      <w:r w:rsidR="00BC6B59">
        <w:rPr>
          <w:lang w:val="en-US"/>
        </w:rPr>
        <w:t>,</w:t>
      </w:r>
      <w:r w:rsidR="00727508">
        <w:rPr>
          <w:lang w:val="en-US"/>
        </w:rPr>
        <w:t xml:space="preserve"> electrophil</w:t>
      </w:r>
      <w:r w:rsidR="006C5C0B">
        <w:rPr>
          <w:lang w:val="en-US"/>
        </w:rPr>
        <w:t>ic compounds</w:t>
      </w:r>
      <w:r w:rsidR="00727508">
        <w:rPr>
          <w:lang w:val="en-US"/>
        </w:rPr>
        <w:t xml:space="preserve"> have been taken to grace in recent years</w:t>
      </w:r>
      <w:r w:rsidR="005A2FF6">
        <w:rPr>
          <w:lang w:val="en-US"/>
        </w:rPr>
        <w:t xml:space="preserve"> and are finding numerous interesting applications in chemical biology and in drug discovery. Ionophores are still pretty much in bad standing.</w:t>
      </w:r>
      <w:r w:rsidR="00196C15">
        <w:rPr>
          <w:lang w:val="en-US"/>
        </w:rPr>
        <w:t xml:space="preserve"> My lab has taken an interest in structurally unusual protein reactive electrophiles</w:t>
      </w:r>
      <w:r w:rsidR="00196C15">
        <w:rPr>
          <w:rStyle w:val="EndnoteReference"/>
          <w:lang w:val="en-US"/>
        </w:rPr>
        <w:endnoteReference w:id="1"/>
      </w:r>
      <w:r w:rsidR="009419D3" w:rsidRPr="009419D3">
        <w:rPr>
          <w:vertAlign w:val="superscript"/>
          <w:lang w:val="en-US"/>
        </w:rPr>
        <w:t>,</w:t>
      </w:r>
      <w:r w:rsidR="008A0F01">
        <w:rPr>
          <w:rStyle w:val="EndnoteReference"/>
          <w:lang w:val="en-US"/>
        </w:rPr>
        <w:endnoteReference w:id="2"/>
      </w:r>
      <w:r w:rsidR="009419D3">
        <w:rPr>
          <w:vertAlign w:val="superscript"/>
          <w:lang w:val="en-US"/>
        </w:rPr>
        <w:t>,</w:t>
      </w:r>
      <w:r w:rsidR="008A0F01">
        <w:rPr>
          <w:rStyle w:val="EndnoteReference"/>
          <w:lang w:val="en-US"/>
        </w:rPr>
        <w:endnoteReference w:id="3"/>
      </w:r>
      <w:r w:rsidR="009419D3">
        <w:rPr>
          <w:vertAlign w:val="superscript"/>
          <w:lang w:val="en-US"/>
        </w:rPr>
        <w:t>,</w:t>
      </w:r>
      <w:r w:rsidR="008A0F01">
        <w:rPr>
          <w:rStyle w:val="EndnoteReference"/>
          <w:lang w:val="en-US"/>
        </w:rPr>
        <w:endnoteReference w:id="4"/>
      </w:r>
      <w:r w:rsidR="009419D3">
        <w:rPr>
          <w:vertAlign w:val="superscript"/>
          <w:lang w:val="en-US"/>
        </w:rPr>
        <w:t>,</w:t>
      </w:r>
      <w:r w:rsidR="009419D3">
        <w:rPr>
          <w:rStyle w:val="EndnoteReference"/>
          <w:lang w:val="en-US"/>
        </w:rPr>
        <w:endnoteReference w:id="5"/>
      </w:r>
      <w:r w:rsidR="00196C15">
        <w:rPr>
          <w:lang w:val="en-US"/>
        </w:rPr>
        <w:t xml:space="preserve"> </w:t>
      </w:r>
      <w:r w:rsidR="00264133">
        <w:rPr>
          <w:lang w:val="en-US"/>
        </w:rPr>
        <w:t>and their applications for protein functionalization or as molecular probes. I</w:t>
      </w:r>
      <w:r w:rsidR="005A2FF6">
        <w:rPr>
          <w:lang w:val="en-US"/>
        </w:rPr>
        <w:t xml:space="preserve">n my talk, I will </w:t>
      </w:r>
      <w:r w:rsidR="00703A10">
        <w:rPr>
          <w:lang w:val="en-US"/>
        </w:rPr>
        <w:t>discuss</w:t>
      </w:r>
      <w:r w:rsidR="004209AD">
        <w:rPr>
          <w:lang w:val="en-US"/>
        </w:rPr>
        <w:t xml:space="preserve"> </w:t>
      </w:r>
      <w:r w:rsidR="00264133">
        <w:rPr>
          <w:lang w:val="en-US"/>
        </w:rPr>
        <w:t>mainly</w:t>
      </w:r>
      <w:r w:rsidR="004209AD">
        <w:rPr>
          <w:lang w:val="en-US"/>
        </w:rPr>
        <w:t xml:space="preserve"> unpublished examples</w:t>
      </w:r>
      <w:r w:rsidR="005A2FF6">
        <w:rPr>
          <w:lang w:val="en-US"/>
        </w:rPr>
        <w:t xml:space="preserve"> </w:t>
      </w:r>
      <w:r w:rsidR="004209AD">
        <w:rPr>
          <w:lang w:val="en-US"/>
        </w:rPr>
        <w:t>from our work</w:t>
      </w:r>
      <w:r w:rsidR="005A2FF6">
        <w:rPr>
          <w:lang w:val="en-US"/>
        </w:rPr>
        <w:t xml:space="preserve"> </w:t>
      </w:r>
      <w:r w:rsidR="004209AD">
        <w:rPr>
          <w:lang w:val="en-US"/>
        </w:rPr>
        <w:t>on</w:t>
      </w:r>
      <w:r w:rsidR="00196C15">
        <w:rPr>
          <w:lang w:val="en-US"/>
        </w:rPr>
        <w:t xml:space="preserve"> such compounds</w:t>
      </w:r>
      <w:r w:rsidR="005A2FF6">
        <w:rPr>
          <w:lang w:val="en-US"/>
        </w:rPr>
        <w:t xml:space="preserve">. Also, I will </w:t>
      </w:r>
      <w:r w:rsidR="00196C15">
        <w:rPr>
          <w:lang w:val="en-US"/>
        </w:rPr>
        <w:t>present</w:t>
      </w:r>
      <w:r w:rsidR="005A2FF6">
        <w:rPr>
          <w:lang w:val="en-US"/>
        </w:rPr>
        <w:t xml:space="preserve"> </w:t>
      </w:r>
      <w:r w:rsidR="00564540">
        <w:rPr>
          <w:lang w:val="en-US"/>
        </w:rPr>
        <w:t xml:space="preserve">our </w:t>
      </w:r>
      <w:r w:rsidR="006C5C0B">
        <w:rPr>
          <w:lang w:val="en-US"/>
        </w:rPr>
        <w:t>initial efforts</w:t>
      </w:r>
      <w:r w:rsidR="00264133">
        <w:rPr>
          <w:rStyle w:val="EndnoteReference"/>
          <w:lang w:val="en-US"/>
        </w:rPr>
        <w:endnoteReference w:id="6"/>
      </w:r>
      <w:r w:rsidR="006C5C0B">
        <w:rPr>
          <w:lang w:val="en-US"/>
        </w:rPr>
        <w:t xml:space="preserve"> </w:t>
      </w:r>
      <w:r w:rsidR="005A2FF6">
        <w:rPr>
          <w:lang w:val="en-US"/>
        </w:rPr>
        <w:t xml:space="preserve">to develop strategies to </w:t>
      </w:r>
      <w:r w:rsidR="008A312C">
        <w:rPr>
          <w:lang w:val="en-US"/>
        </w:rPr>
        <w:t xml:space="preserve">access </w:t>
      </w:r>
      <w:r w:rsidR="005A2FF6">
        <w:rPr>
          <w:lang w:val="en-US"/>
        </w:rPr>
        <w:t>structural diversity within the class of polyether ionophore</w:t>
      </w:r>
      <w:r w:rsidR="006C5C0B">
        <w:rPr>
          <w:lang w:val="en-US"/>
        </w:rPr>
        <w:t xml:space="preserve"> antibiotics</w:t>
      </w:r>
      <w:r w:rsidR="005A2FF6">
        <w:rPr>
          <w:lang w:val="en-US"/>
        </w:rPr>
        <w:t xml:space="preserve"> and </w:t>
      </w:r>
      <w:r w:rsidR="00DF328F">
        <w:rPr>
          <w:lang w:val="en-US"/>
        </w:rPr>
        <w:t xml:space="preserve">discuss how </w:t>
      </w:r>
      <w:r w:rsidR="005A2FF6">
        <w:rPr>
          <w:lang w:val="en-US"/>
        </w:rPr>
        <w:t xml:space="preserve">new </w:t>
      </w:r>
      <w:r w:rsidR="00842608">
        <w:rPr>
          <w:lang w:val="en-US"/>
        </w:rPr>
        <w:t xml:space="preserve">cellular profiling </w:t>
      </w:r>
      <w:r w:rsidR="005A2FF6">
        <w:rPr>
          <w:lang w:val="en-US"/>
        </w:rPr>
        <w:t>techniques</w:t>
      </w:r>
      <w:r w:rsidR="008A312C">
        <w:rPr>
          <w:lang w:val="en-US"/>
        </w:rPr>
        <w:t xml:space="preserve"> </w:t>
      </w:r>
      <w:r w:rsidR="00842608">
        <w:rPr>
          <w:lang w:val="en-US"/>
        </w:rPr>
        <w:t>might be used</w:t>
      </w:r>
      <w:r w:rsidR="004209AD">
        <w:rPr>
          <w:lang w:val="en-US"/>
        </w:rPr>
        <w:t xml:space="preserve"> </w:t>
      </w:r>
      <w:r w:rsidR="00842608">
        <w:rPr>
          <w:lang w:val="en-US"/>
        </w:rPr>
        <w:t>in the search for compounds with an increased therapeutic potential.</w:t>
      </w:r>
      <w:r w:rsidR="008A312C">
        <w:rPr>
          <w:lang w:val="en-US"/>
        </w:rPr>
        <w:t xml:space="preserve"> </w:t>
      </w:r>
      <w:r w:rsidR="005A2FF6">
        <w:rPr>
          <w:lang w:val="en-US"/>
        </w:rPr>
        <w:t xml:space="preserve"> </w:t>
      </w:r>
    </w:p>
    <w:p w14:paraId="7F24EBE9" w14:textId="1E84645E" w:rsidR="009F1513" w:rsidRPr="009F1513" w:rsidRDefault="005A2FF6" w:rsidP="009F1513">
      <w:pPr>
        <w:jc w:val="both"/>
        <w:rPr>
          <w:lang w:val="en-US"/>
        </w:rPr>
      </w:pPr>
      <w:r>
        <w:rPr>
          <w:lang w:val="en-US"/>
        </w:rPr>
        <w:t xml:space="preserve">   </w:t>
      </w:r>
    </w:p>
    <w:sectPr w:rsidR="009F1513" w:rsidRPr="009F1513" w:rsidSect="007843E2">
      <w:endnotePr>
        <w:numFmt w:val="decimal"/>
      </w:endnotePr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E2CAE" w14:textId="77777777" w:rsidR="00B951C9" w:rsidRDefault="00B951C9" w:rsidP="00196C15">
      <w:pPr>
        <w:spacing w:after="0" w:line="240" w:lineRule="auto"/>
      </w:pPr>
      <w:r>
        <w:separator/>
      </w:r>
    </w:p>
  </w:endnote>
  <w:endnote w:type="continuationSeparator" w:id="0">
    <w:p w14:paraId="01B827F0" w14:textId="77777777" w:rsidR="00B951C9" w:rsidRDefault="00B951C9" w:rsidP="00196C15">
      <w:pPr>
        <w:spacing w:after="0" w:line="240" w:lineRule="auto"/>
      </w:pPr>
      <w:r>
        <w:continuationSeparator/>
      </w:r>
    </w:p>
  </w:endnote>
  <w:endnote w:id="1">
    <w:p w14:paraId="08C83DF3" w14:textId="7994037C" w:rsidR="00196C15" w:rsidRDefault="00196C15">
      <w:pPr>
        <w:pStyle w:val="EndnoteText"/>
      </w:pPr>
      <w:r>
        <w:rPr>
          <w:rStyle w:val="EndnoteReference"/>
        </w:rPr>
        <w:endnoteRef/>
      </w:r>
      <w:r w:rsidRPr="008A0F01">
        <w:rPr>
          <w:lang w:val="en-US"/>
        </w:rPr>
        <w:t xml:space="preserve"> </w:t>
      </w:r>
      <w:r w:rsidR="008A0F01" w:rsidRPr="008A0F01">
        <w:rPr>
          <w:lang w:val="en-GB"/>
        </w:rPr>
        <w:t xml:space="preserve">Tsakos, M. </w:t>
      </w:r>
      <w:r w:rsidR="008A0F01" w:rsidRPr="008A0F01">
        <w:rPr>
          <w:i/>
          <w:iCs/>
          <w:lang w:val="en-GB"/>
        </w:rPr>
        <w:t>et al.</w:t>
      </w:r>
      <w:r w:rsidR="008A0F01" w:rsidRPr="008A0F01">
        <w:rPr>
          <w:lang w:val="en-GB"/>
        </w:rPr>
        <w:t xml:space="preserve"> Total Synthesis and Biological Evaluation of </w:t>
      </w:r>
      <w:proofErr w:type="spellStart"/>
      <w:r w:rsidR="008A0F01" w:rsidRPr="008A0F01">
        <w:rPr>
          <w:lang w:val="en-GB"/>
        </w:rPr>
        <w:t>Rakicidin</w:t>
      </w:r>
      <w:proofErr w:type="spellEnd"/>
      <w:r w:rsidR="008A0F01" w:rsidRPr="008A0F01">
        <w:rPr>
          <w:lang w:val="en-GB"/>
        </w:rPr>
        <w:t xml:space="preserve"> A and Discovery of a Simplified Bioactive Analogue. </w:t>
      </w:r>
      <w:proofErr w:type="spellStart"/>
      <w:r w:rsidR="008A0F01" w:rsidRPr="008A0F01">
        <w:rPr>
          <w:i/>
          <w:iCs/>
          <w:lang w:val="en-GB"/>
        </w:rPr>
        <w:t>Angew</w:t>
      </w:r>
      <w:proofErr w:type="spellEnd"/>
      <w:r w:rsidR="008A0F01" w:rsidRPr="008A0F01">
        <w:rPr>
          <w:i/>
          <w:iCs/>
          <w:lang w:val="en-GB"/>
        </w:rPr>
        <w:t>. Chem. Int. Ed.</w:t>
      </w:r>
      <w:r w:rsidR="008A0F01" w:rsidRPr="008A0F01">
        <w:rPr>
          <w:lang w:val="en-GB"/>
        </w:rPr>
        <w:t xml:space="preserve"> </w:t>
      </w:r>
      <w:r w:rsidR="008A0F01" w:rsidRPr="008A0F01">
        <w:rPr>
          <w:b/>
          <w:bCs/>
          <w:lang w:val="en-GB"/>
        </w:rPr>
        <w:t>55,</w:t>
      </w:r>
      <w:r w:rsidR="008A0F01" w:rsidRPr="008A0F01">
        <w:rPr>
          <w:lang w:val="en-GB"/>
        </w:rPr>
        <w:t xml:space="preserve"> 1030–1035 (2016).</w:t>
      </w:r>
    </w:p>
  </w:endnote>
  <w:endnote w:id="2">
    <w:p w14:paraId="014C0B69" w14:textId="283740F4" w:rsidR="008A0F01" w:rsidRPr="008A0F01" w:rsidRDefault="008A0F01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8A0F01">
        <w:t xml:space="preserve">Villadsen, N. L. </w:t>
      </w:r>
      <w:r w:rsidRPr="008A0F01">
        <w:rPr>
          <w:i/>
          <w:iCs/>
        </w:rPr>
        <w:t>et al.</w:t>
      </w:r>
      <w:r w:rsidRPr="008A0F01">
        <w:t xml:space="preserve"> </w:t>
      </w:r>
      <w:r w:rsidRPr="008A0F01">
        <w:rPr>
          <w:lang w:val="en-GB"/>
        </w:rPr>
        <w:t xml:space="preserve">Synthesis of ent-BE-43547A1 reveals a potent hypoxia-selective anticancer agent and uncovers the biosynthetic origin of the APD-CLD natural products. </w:t>
      </w:r>
      <w:r w:rsidRPr="008A0F01">
        <w:rPr>
          <w:i/>
          <w:iCs/>
          <w:lang w:val="en-GB"/>
        </w:rPr>
        <w:t>Nat. Chem.</w:t>
      </w:r>
      <w:r w:rsidRPr="008A0F01">
        <w:rPr>
          <w:lang w:val="en-GB"/>
        </w:rPr>
        <w:t xml:space="preserve"> </w:t>
      </w:r>
      <w:r w:rsidRPr="008A0F01">
        <w:rPr>
          <w:b/>
          <w:bCs/>
          <w:lang w:val="en-GB"/>
        </w:rPr>
        <w:t>9,</w:t>
      </w:r>
      <w:r w:rsidRPr="008A0F01">
        <w:rPr>
          <w:lang w:val="en-GB"/>
        </w:rPr>
        <w:t xml:space="preserve"> 264–272 (2017).</w:t>
      </w:r>
    </w:p>
  </w:endnote>
  <w:endnote w:id="3">
    <w:p w14:paraId="481CE494" w14:textId="2DB4F354" w:rsidR="008A0F01" w:rsidRPr="008A0F01" w:rsidRDefault="008A0F01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8A0F01">
        <w:t xml:space="preserve">Jacobsen, K. M. </w:t>
      </w:r>
      <w:r w:rsidRPr="008A0F01">
        <w:rPr>
          <w:i/>
          <w:iCs/>
        </w:rPr>
        <w:t>et al.</w:t>
      </w:r>
      <w:r w:rsidRPr="008A0F01">
        <w:t xml:space="preserve"> </w:t>
      </w:r>
      <w:r w:rsidRPr="008A0F01">
        <w:rPr>
          <w:lang w:val="en-GB"/>
        </w:rPr>
        <w:t xml:space="preserve">APD-Containing </w:t>
      </w:r>
      <w:proofErr w:type="spellStart"/>
      <w:r w:rsidRPr="008A0F01">
        <w:rPr>
          <w:lang w:val="en-GB"/>
        </w:rPr>
        <w:t>Cyclolipodepsipeptides</w:t>
      </w:r>
      <w:proofErr w:type="spellEnd"/>
      <w:r w:rsidRPr="008A0F01">
        <w:rPr>
          <w:lang w:val="en-GB"/>
        </w:rPr>
        <w:t xml:space="preserve"> Target Mitochondrial Function in Hypoxic Cancer Cells. </w:t>
      </w:r>
      <w:r w:rsidRPr="008A0F01">
        <w:rPr>
          <w:i/>
          <w:iCs/>
          <w:lang w:val="en-GB"/>
        </w:rPr>
        <w:t>Cell Chem. Biol.</w:t>
      </w:r>
      <w:r w:rsidRPr="008A0F01">
        <w:rPr>
          <w:lang w:val="en-GB"/>
        </w:rPr>
        <w:t xml:space="preserve"> </w:t>
      </w:r>
      <w:r w:rsidRPr="008A0F01">
        <w:rPr>
          <w:b/>
          <w:bCs/>
          <w:lang w:val="en-GB"/>
        </w:rPr>
        <w:t>25,</w:t>
      </w:r>
      <w:r w:rsidRPr="008A0F01">
        <w:rPr>
          <w:lang w:val="en-GB"/>
        </w:rPr>
        <w:t xml:space="preserve"> 1337–1349.e12 (2018).</w:t>
      </w:r>
    </w:p>
  </w:endnote>
  <w:endnote w:id="4">
    <w:p w14:paraId="0E78C342" w14:textId="6B3E6D3A" w:rsidR="009419D3" w:rsidRPr="009419D3" w:rsidRDefault="008A0F01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="009419D3" w:rsidRPr="009419D3">
        <w:t xml:space="preserve">Hansen, B. K. </w:t>
      </w:r>
      <w:r w:rsidR="009419D3" w:rsidRPr="009419D3">
        <w:rPr>
          <w:i/>
          <w:iCs/>
        </w:rPr>
        <w:t>et al.</w:t>
      </w:r>
      <w:r w:rsidR="009419D3" w:rsidRPr="009419D3">
        <w:t xml:space="preserve"> </w:t>
      </w:r>
      <w:r w:rsidR="009419D3" w:rsidRPr="009419D3">
        <w:rPr>
          <w:lang w:val="en-GB"/>
        </w:rPr>
        <w:t xml:space="preserve">STEFs: Activated Vinylogous Protein-Reactive Electrophiles. </w:t>
      </w:r>
      <w:proofErr w:type="spellStart"/>
      <w:r w:rsidR="009419D3" w:rsidRPr="009419D3">
        <w:rPr>
          <w:i/>
          <w:iCs/>
          <w:lang w:val="en-GB"/>
        </w:rPr>
        <w:t>Angew</w:t>
      </w:r>
      <w:proofErr w:type="spellEnd"/>
      <w:r w:rsidR="009419D3" w:rsidRPr="009419D3">
        <w:rPr>
          <w:i/>
          <w:iCs/>
          <w:lang w:val="en-GB"/>
        </w:rPr>
        <w:t>. Chem. Int. Ed.</w:t>
      </w:r>
      <w:r w:rsidR="009419D3" w:rsidRPr="009419D3">
        <w:rPr>
          <w:lang w:val="en-GB"/>
        </w:rPr>
        <w:t xml:space="preserve"> </w:t>
      </w:r>
      <w:r w:rsidR="009419D3" w:rsidRPr="009419D3">
        <w:rPr>
          <w:b/>
          <w:bCs/>
          <w:lang w:val="en-GB"/>
        </w:rPr>
        <w:t>58,</w:t>
      </w:r>
      <w:r w:rsidR="009419D3" w:rsidRPr="009419D3">
        <w:rPr>
          <w:lang w:val="en-GB"/>
        </w:rPr>
        <w:t xml:space="preserve"> 3533–3537 (2019).</w:t>
      </w:r>
    </w:p>
  </w:endnote>
  <w:endnote w:id="5">
    <w:p w14:paraId="0E911F2B" w14:textId="5C8084C9" w:rsidR="009419D3" w:rsidRPr="009419D3" w:rsidRDefault="009419D3">
      <w:pPr>
        <w:pStyle w:val="EndnoteText"/>
        <w:rPr>
          <w:lang w:val="en-US"/>
        </w:rPr>
      </w:pPr>
      <w:r>
        <w:rPr>
          <w:rStyle w:val="EndnoteReference"/>
        </w:rPr>
        <w:endnoteRef/>
      </w:r>
      <w:r w:rsidRPr="009419D3">
        <w:rPr>
          <w:lang w:val="en-US"/>
        </w:rPr>
        <w:t xml:space="preserve"> </w:t>
      </w:r>
      <w:proofErr w:type="spellStart"/>
      <w:r w:rsidRPr="009419D3">
        <w:rPr>
          <w:lang w:val="en-GB"/>
        </w:rPr>
        <w:t>Wørmer</w:t>
      </w:r>
      <w:proofErr w:type="spellEnd"/>
      <w:r w:rsidRPr="009419D3">
        <w:rPr>
          <w:lang w:val="en-GB"/>
        </w:rPr>
        <w:t xml:space="preserve">, G. J., Hansen, B. K., </w:t>
      </w:r>
      <w:proofErr w:type="spellStart"/>
      <w:r w:rsidRPr="009419D3">
        <w:rPr>
          <w:lang w:val="en-GB"/>
        </w:rPr>
        <w:t>Palmfeldt</w:t>
      </w:r>
      <w:proofErr w:type="spellEnd"/>
      <w:r w:rsidRPr="009419D3">
        <w:rPr>
          <w:lang w:val="en-GB"/>
        </w:rPr>
        <w:t xml:space="preserve">, J. &amp; Poulsen, T. B. A </w:t>
      </w:r>
      <w:proofErr w:type="spellStart"/>
      <w:r w:rsidRPr="009419D3">
        <w:rPr>
          <w:lang w:val="en-GB"/>
        </w:rPr>
        <w:t>Cyclopropene</w:t>
      </w:r>
      <w:proofErr w:type="spellEnd"/>
      <w:r w:rsidRPr="009419D3">
        <w:rPr>
          <w:lang w:val="en-GB"/>
        </w:rPr>
        <w:t xml:space="preserve"> Electrophile that Targets Glutathione S-Transferase Omega-1 in Cells. </w:t>
      </w:r>
      <w:proofErr w:type="spellStart"/>
      <w:r w:rsidRPr="009419D3">
        <w:rPr>
          <w:i/>
          <w:iCs/>
          <w:lang w:val="en-GB"/>
        </w:rPr>
        <w:t>Angew</w:t>
      </w:r>
      <w:proofErr w:type="spellEnd"/>
      <w:r w:rsidRPr="009419D3">
        <w:rPr>
          <w:i/>
          <w:iCs/>
          <w:lang w:val="en-GB"/>
        </w:rPr>
        <w:t>. Chem. Int. Ed.</w:t>
      </w:r>
      <w:r w:rsidRPr="009419D3">
        <w:rPr>
          <w:lang w:val="en-GB"/>
        </w:rPr>
        <w:t xml:space="preserve"> </w:t>
      </w:r>
      <w:r w:rsidRPr="009419D3">
        <w:rPr>
          <w:b/>
          <w:bCs/>
          <w:lang w:val="en-GB"/>
        </w:rPr>
        <w:t>58,</w:t>
      </w:r>
      <w:r w:rsidRPr="009419D3">
        <w:rPr>
          <w:lang w:val="en-GB"/>
        </w:rPr>
        <w:t xml:space="preserve"> 11918–11922 (2019).</w:t>
      </w:r>
    </w:p>
  </w:endnote>
  <w:endnote w:id="6">
    <w:p w14:paraId="7CA754F5" w14:textId="02980F02" w:rsidR="00264133" w:rsidRPr="00264133" w:rsidRDefault="00264133" w:rsidP="00264133">
      <w:pPr>
        <w:pStyle w:val="EndnoteText"/>
        <w:rPr>
          <w:b/>
          <w:iCs/>
          <w:lang w:val="en-US"/>
        </w:rPr>
      </w:pPr>
      <w:r>
        <w:rPr>
          <w:rStyle w:val="EndnoteReference"/>
        </w:rPr>
        <w:endnoteRef/>
      </w:r>
      <w:r w:rsidRPr="00264133">
        <w:rPr>
          <w:lang w:val="en-US"/>
        </w:rPr>
        <w:t xml:space="preserve"> </w:t>
      </w:r>
      <w:r w:rsidRPr="00264133">
        <w:rPr>
          <w:bCs/>
          <w:iCs/>
          <w:lang w:val="en-US"/>
        </w:rPr>
        <w:t xml:space="preserve">Lin, S., Liu, H., </w:t>
      </w:r>
      <w:proofErr w:type="spellStart"/>
      <w:r w:rsidRPr="00264133">
        <w:rPr>
          <w:bCs/>
          <w:iCs/>
          <w:lang w:val="en-US"/>
        </w:rPr>
        <w:t>Svenningsen</w:t>
      </w:r>
      <w:proofErr w:type="spellEnd"/>
      <w:r w:rsidRPr="00264133">
        <w:rPr>
          <w:bCs/>
          <w:iCs/>
          <w:lang w:val="en-US"/>
        </w:rPr>
        <w:t xml:space="preserve">, E. B., Pedersen, C. N., </w:t>
      </w:r>
      <w:proofErr w:type="spellStart"/>
      <w:r w:rsidRPr="00264133">
        <w:rPr>
          <w:bCs/>
          <w:iCs/>
          <w:lang w:val="en-US"/>
        </w:rPr>
        <w:t>Nørby</w:t>
      </w:r>
      <w:proofErr w:type="spellEnd"/>
      <w:r w:rsidRPr="00264133">
        <w:rPr>
          <w:bCs/>
          <w:iCs/>
          <w:lang w:val="en-US"/>
        </w:rPr>
        <w:t>, P</w:t>
      </w:r>
      <w:r w:rsidRPr="00842608">
        <w:rPr>
          <w:bCs/>
          <w:iCs/>
          <w:lang w:val="en-US"/>
        </w:rPr>
        <w:t xml:space="preserve">., </w:t>
      </w:r>
      <w:proofErr w:type="spellStart"/>
      <w:r w:rsidRPr="00842608">
        <w:rPr>
          <w:bCs/>
          <w:iCs/>
          <w:lang w:val="en-US"/>
        </w:rPr>
        <w:t>Tørring</w:t>
      </w:r>
      <w:proofErr w:type="spellEnd"/>
      <w:r w:rsidRPr="00842608">
        <w:rPr>
          <w:bCs/>
          <w:iCs/>
          <w:lang w:val="en-US"/>
        </w:rPr>
        <w:t xml:space="preserve">, T. Poulsen, T. B. </w:t>
      </w:r>
      <w:r w:rsidRPr="00264133">
        <w:rPr>
          <w:bCs/>
          <w:iCs/>
          <w:lang w:val="en-US"/>
        </w:rPr>
        <w:t>Diversity Focused Semi</w:t>
      </w:r>
      <w:r>
        <w:rPr>
          <w:bCs/>
          <w:iCs/>
          <w:lang w:val="en-US"/>
        </w:rPr>
        <w:t>-</w:t>
      </w:r>
      <w:r w:rsidRPr="00264133">
        <w:rPr>
          <w:bCs/>
          <w:iCs/>
          <w:lang w:val="en-US"/>
        </w:rPr>
        <w:t xml:space="preserve">syntheses of </w:t>
      </w:r>
      <w:proofErr w:type="spellStart"/>
      <w:r w:rsidRPr="00264133">
        <w:rPr>
          <w:bCs/>
          <w:iCs/>
          <w:lang w:val="en-US"/>
        </w:rPr>
        <w:t>Tetronate</w:t>
      </w:r>
      <w:proofErr w:type="spellEnd"/>
      <w:r w:rsidRPr="00264133">
        <w:rPr>
          <w:bCs/>
          <w:iCs/>
          <w:lang w:val="en-US"/>
        </w:rPr>
        <w:t xml:space="preserve"> Polyether Ionophores</w:t>
      </w:r>
      <w:r>
        <w:rPr>
          <w:b/>
          <w:iCs/>
          <w:lang w:val="en-US"/>
        </w:rPr>
        <w:t xml:space="preserve">, </w:t>
      </w:r>
      <w:proofErr w:type="spellStart"/>
      <w:r w:rsidRPr="00264133">
        <w:rPr>
          <w:bCs/>
          <w:i/>
          <w:lang w:val="en-US"/>
        </w:rPr>
        <w:t>ChemRxiv</w:t>
      </w:r>
      <w:proofErr w:type="spellEnd"/>
      <w:r w:rsidRPr="00264133">
        <w:rPr>
          <w:bCs/>
          <w:iCs/>
          <w:lang w:val="en-US"/>
        </w:rPr>
        <w:t xml:space="preserve">, </w:t>
      </w:r>
      <w:r>
        <w:rPr>
          <w:bCs/>
          <w:iCs/>
          <w:lang w:val="en-US"/>
        </w:rPr>
        <w:t>(</w:t>
      </w:r>
      <w:r w:rsidRPr="00264133">
        <w:rPr>
          <w:bCs/>
          <w:iCs/>
          <w:lang w:val="en-US"/>
        </w:rPr>
        <w:t>2019</w:t>
      </w:r>
      <w:r>
        <w:rPr>
          <w:bCs/>
          <w:iCs/>
          <w:lang w:val="en-US"/>
        </w:rPr>
        <w:t>)</w:t>
      </w:r>
      <w:r w:rsidRPr="00264133">
        <w:rPr>
          <w:bCs/>
          <w:iCs/>
          <w:lang w:val="en-US"/>
        </w:rPr>
        <w:t>, DOI: 10.26434/chemrxiv.8299715.v1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C5E76" w14:textId="77777777" w:rsidR="00B951C9" w:rsidRDefault="00B951C9" w:rsidP="00196C15">
      <w:pPr>
        <w:spacing w:after="0" w:line="240" w:lineRule="auto"/>
      </w:pPr>
      <w:r>
        <w:separator/>
      </w:r>
    </w:p>
  </w:footnote>
  <w:footnote w:type="continuationSeparator" w:id="0">
    <w:p w14:paraId="636C2655" w14:textId="77777777" w:rsidR="00B951C9" w:rsidRDefault="00B951C9" w:rsidP="00196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13"/>
    <w:rsid w:val="00000AA0"/>
    <w:rsid w:val="00003316"/>
    <w:rsid w:val="0001422F"/>
    <w:rsid w:val="00053F10"/>
    <w:rsid w:val="0008690F"/>
    <w:rsid w:val="00196C15"/>
    <w:rsid w:val="001B02E0"/>
    <w:rsid w:val="001E4CF4"/>
    <w:rsid w:val="001F5230"/>
    <w:rsid w:val="00264133"/>
    <w:rsid w:val="00370110"/>
    <w:rsid w:val="003C306D"/>
    <w:rsid w:val="004209AD"/>
    <w:rsid w:val="004B5E7A"/>
    <w:rsid w:val="004D4FFB"/>
    <w:rsid w:val="004E1440"/>
    <w:rsid w:val="004E2CD1"/>
    <w:rsid w:val="0050466C"/>
    <w:rsid w:val="0053717A"/>
    <w:rsid w:val="00564540"/>
    <w:rsid w:val="00573F17"/>
    <w:rsid w:val="005A2FF6"/>
    <w:rsid w:val="005E18BF"/>
    <w:rsid w:val="005F2E63"/>
    <w:rsid w:val="00623C2B"/>
    <w:rsid w:val="006311D2"/>
    <w:rsid w:val="006A0A31"/>
    <w:rsid w:val="006C5C0B"/>
    <w:rsid w:val="00703A10"/>
    <w:rsid w:val="00727508"/>
    <w:rsid w:val="00746983"/>
    <w:rsid w:val="007843E2"/>
    <w:rsid w:val="007B739F"/>
    <w:rsid w:val="00805027"/>
    <w:rsid w:val="008145F1"/>
    <w:rsid w:val="00842608"/>
    <w:rsid w:val="008A0F01"/>
    <w:rsid w:val="008A312C"/>
    <w:rsid w:val="009419D3"/>
    <w:rsid w:val="00950050"/>
    <w:rsid w:val="009D71E9"/>
    <w:rsid w:val="009F1513"/>
    <w:rsid w:val="00A402E1"/>
    <w:rsid w:val="00AB4653"/>
    <w:rsid w:val="00AC74F0"/>
    <w:rsid w:val="00B124A1"/>
    <w:rsid w:val="00B736FB"/>
    <w:rsid w:val="00B87C99"/>
    <w:rsid w:val="00B951C9"/>
    <w:rsid w:val="00B97A25"/>
    <w:rsid w:val="00BC6B59"/>
    <w:rsid w:val="00C332CD"/>
    <w:rsid w:val="00C35F5E"/>
    <w:rsid w:val="00CC3A25"/>
    <w:rsid w:val="00D16299"/>
    <w:rsid w:val="00D92101"/>
    <w:rsid w:val="00DF328F"/>
    <w:rsid w:val="00EB2105"/>
    <w:rsid w:val="00EE5025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52E1"/>
  <w15:chartTrackingRefBased/>
  <w15:docId w15:val="{1F654378-8FB9-6147-B53F-15E61A9A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4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96C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6C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6C1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41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B. Poulsen</dc:creator>
  <cp:keywords/>
  <dc:description/>
  <cp:lastModifiedBy>Schwickrath, Helen L.</cp:lastModifiedBy>
  <cp:revision>2</cp:revision>
  <dcterms:created xsi:type="dcterms:W3CDTF">2019-11-12T21:06:00Z</dcterms:created>
  <dcterms:modified xsi:type="dcterms:W3CDTF">2019-11-12T21:06:00Z</dcterms:modified>
</cp:coreProperties>
</file>