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377B" w14:textId="77777777" w:rsidR="00B30594" w:rsidRDefault="00B30594" w:rsidP="00B305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Designer </w:t>
      </w:r>
      <w:r w:rsidRPr="004144D8">
        <w:rPr>
          <w:rFonts w:ascii="Times New Roman" w:hAnsi="Times New Roman" w:cs="Times New Roman"/>
          <w:b/>
          <w:sz w:val="24"/>
          <w:szCs w:val="24"/>
          <w:u w:val="single"/>
        </w:rPr>
        <w:t xml:space="preserve">Organic-Inorganic Interfaces for Coherent </w:t>
      </w:r>
      <w:r>
        <w:rPr>
          <w:rFonts w:ascii="Times New Roman" w:hAnsi="Times New Roman" w:cs="Times New Roman"/>
          <w:b/>
          <w:sz w:val="24"/>
          <w:szCs w:val="24"/>
          <w:u w:val="single"/>
        </w:rPr>
        <w:t>Charge</w:t>
      </w:r>
      <w:r w:rsidRPr="004144D8">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Spin</w:t>
      </w:r>
      <w:r w:rsidRPr="004144D8">
        <w:rPr>
          <w:rFonts w:ascii="Times New Roman" w:hAnsi="Times New Roman" w:cs="Times New Roman"/>
          <w:b/>
          <w:sz w:val="24"/>
          <w:szCs w:val="24"/>
          <w:u w:val="single"/>
        </w:rPr>
        <w:t xml:space="preserve"> Transfer</w:t>
      </w:r>
    </w:p>
    <w:p w14:paraId="4BD9458C" w14:textId="77777777" w:rsidR="00B30594" w:rsidRDefault="00B30594" w:rsidP="00B30594">
      <w:pPr>
        <w:spacing w:after="0" w:line="240" w:lineRule="auto"/>
        <w:jc w:val="center"/>
        <w:rPr>
          <w:rFonts w:ascii="Times New Roman" w:hAnsi="Times New Roman" w:cs="Times New Roman"/>
          <w:b/>
          <w:sz w:val="24"/>
          <w:szCs w:val="24"/>
          <w:u w:val="single"/>
        </w:rPr>
      </w:pPr>
    </w:p>
    <w:p w14:paraId="694DD9DC" w14:textId="77777777" w:rsidR="00B30594" w:rsidRPr="00B30594" w:rsidRDefault="00B30594" w:rsidP="00B30594">
      <w:pPr>
        <w:spacing w:after="0" w:line="240" w:lineRule="auto"/>
        <w:jc w:val="center"/>
        <w:rPr>
          <w:rFonts w:ascii="Times New Roman" w:hAnsi="Times New Roman" w:cs="Times New Roman"/>
          <w:sz w:val="24"/>
          <w:szCs w:val="24"/>
        </w:rPr>
      </w:pPr>
      <w:r w:rsidRPr="00B30594">
        <w:rPr>
          <w:rFonts w:ascii="Times New Roman" w:hAnsi="Times New Roman" w:cs="Times New Roman"/>
          <w:sz w:val="24"/>
          <w:szCs w:val="24"/>
        </w:rPr>
        <w:t>Luisa Whittaker-Brooks</w:t>
      </w:r>
    </w:p>
    <w:p w14:paraId="6AABAA21" w14:textId="77777777" w:rsidR="00B30594" w:rsidRPr="00B30594" w:rsidRDefault="00B30594" w:rsidP="00B30594">
      <w:pPr>
        <w:spacing w:after="0" w:line="240" w:lineRule="auto"/>
        <w:jc w:val="center"/>
        <w:rPr>
          <w:rFonts w:ascii="Times New Roman" w:hAnsi="Times New Roman" w:cs="Times New Roman"/>
          <w:sz w:val="24"/>
          <w:szCs w:val="24"/>
        </w:rPr>
      </w:pPr>
    </w:p>
    <w:p w14:paraId="56AAB2B1" w14:textId="77777777" w:rsidR="00B30594" w:rsidRPr="00B30594" w:rsidRDefault="00B30594" w:rsidP="00B30594">
      <w:pPr>
        <w:spacing w:after="0" w:line="240" w:lineRule="auto"/>
        <w:jc w:val="center"/>
        <w:rPr>
          <w:rFonts w:ascii="Times New Roman" w:hAnsi="Times New Roman" w:cs="Times New Roman"/>
          <w:sz w:val="24"/>
          <w:szCs w:val="24"/>
        </w:rPr>
      </w:pPr>
      <w:r w:rsidRPr="00B30594">
        <w:rPr>
          <w:rFonts w:ascii="Times New Roman" w:hAnsi="Times New Roman" w:cs="Times New Roman"/>
          <w:sz w:val="24"/>
          <w:szCs w:val="24"/>
        </w:rPr>
        <w:t>Department of Chemistry, University of Utah</w:t>
      </w:r>
    </w:p>
    <w:p w14:paraId="6D96100F" w14:textId="77777777" w:rsidR="00B30594" w:rsidRPr="004144D8" w:rsidRDefault="00B30594" w:rsidP="00B30594">
      <w:pPr>
        <w:spacing w:after="0" w:line="240" w:lineRule="auto"/>
        <w:jc w:val="center"/>
        <w:rPr>
          <w:rFonts w:ascii="Times New Roman" w:hAnsi="Times New Roman" w:cs="Times New Roman"/>
          <w:b/>
          <w:sz w:val="24"/>
          <w:szCs w:val="24"/>
          <w:u w:val="single"/>
        </w:rPr>
      </w:pPr>
    </w:p>
    <w:p w14:paraId="30F2EE89" w14:textId="77777777" w:rsidR="00B30594" w:rsidRDefault="00B30594" w:rsidP="00B30594">
      <w:pPr>
        <w:spacing w:after="0" w:line="240" w:lineRule="auto"/>
        <w:jc w:val="both"/>
        <w:rPr>
          <w:rFonts w:ascii="Times New Roman" w:hAnsi="Times New Roman" w:cs="Times New Roman"/>
          <w:b/>
          <w:sz w:val="24"/>
          <w:szCs w:val="24"/>
          <w:u w:val="single"/>
        </w:rPr>
      </w:pPr>
    </w:p>
    <w:p w14:paraId="72B5C493" w14:textId="77777777" w:rsidR="00B30594" w:rsidRDefault="00B30594" w:rsidP="00B30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44D8">
        <w:rPr>
          <w:rFonts w:ascii="Times New Roman" w:hAnsi="Times New Roman" w:cs="Times New Roman"/>
          <w:sz w:val="24"/>
          <w:szCs w:val="24"/>
        </w:rPr>
        <w:t>Organic-inorganic interfaces while highly desirable for a host of applications, present several challenges that remain unresolved, including the ability to control the assembly of the organic and inorganic components and interfaces at the molecular level (orientation and mode of attachment), matching of phonon band structure in inorganics with discrete vibrations within the molecule, and tuning energetic offsets for effect</w:t>
      </w:r>
      <w:r w:rsidR="00D8013D">
        <w:rPr>
          <w:rFonts w:ascii="Times New Roman" w:hAnsi="Times New Roman" w:cs="Times New Roman"/>
          <w:sz w:val="24"/>
          <w:szCs w:val="24"/>
        </w:rPr>
        <w:t xml:space="preserve">ive charge and spin transfer. </w:t>
      </w:r>
      <w:r w:rsidRPr="004144D8">
        <w:rPr>
          <w:rFonts w:ascii="Times New Roman" w:hAnsi="Times New Roman" w:cs="Times New Roman"/>
          <w:sz w:val="24"/>
          <w:szCs w:val="24"/>
        </w:rPr>
        <w:t>Each of these para</w:t>
      </w:r>
      <w:r w:rsidR="00D8013D">
        <w:rPr>
          <w:rFonts w:ascii="Times New Roman" w:hAnsi="Times New Roman" w:cs="Times New Roman"/>
          <w:sz w:val="24"/>
          <w:szCs w:val="24"/>
        </w:rPr>
        <w:t>meters ultimately govern charge transport, the preservation of coherence, and energy transfer.</w:t>
      </w:r>
    </w:p>
    <w:p w14:paraId="42432E31" w14:textId="77777777" w:rsidR="00B30594" w:rsidRPr="004144D8" w:rsidRDefault="00B30594" w:rsidP="00B305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this talk, I will discuss fundamental guidelines for the</w:t>
      </w:r>
      <w:r w:rsidRPr="004144D8">
        <w:rPr>
          <w:rFonts w:ascii="Times New Roman" w:hAnsi="Times New Roman" w:cs="Times New Roman"/>
          <w:sz w:val="24"/>
          <w:szCs w:val="24"/>
        </w:rPr>
        <w:t xml:space="preserve"> design of well-defined </w:t>
      </w:r>
      <w:r w:rsidR="00EA3777">
        <w:rPr>
          <w:rFonts w:ascii="Times New Roman" w:hAnsi="Times New Roman" w:cs="Times New Roman"/>
          <w:sz w:val="24"/>
          <w:szCs w:val="24"/>
        </w:rPr>
        <w:t xml:space="preserve">organic-inorganic </w:t>
      </w:r>
      <w:proofErr w:type="spellStart"/>
      <w:r w:rsidRPr="004144D8">
        <w:rPr>
          <w:rFonts w:ascii="Times New Roman" w:hAnsi="Times New Roman" w:cs="Times New Roman"/>
          <w:sz w:val="24"/>
          <w:szCs w:val="24"/>
        </w:rPr>
        <w:t>heterostructured</w:t>
      </w:r>
      <w:proofErr w:type="spellEnd"/>
      <w:r w:rsidRPr="004144D8">
        <w:rPr>
          <w:rFonts w:ascii="Times New Roman" w:hAnsi="Times New Roman" w:cs="Times New Roman"/>
          <w:sz w:val="24"/>
          <w:szCs w:val="24"/>
        </w:rPr>
        <w:t xml:space="preserve"> materials with controlled morphology and interfaces that serve as conduits for deterministic and coherent </w:t>
      </w:r>
      <w:r>
        <w:rPr>
          <w:rFonts w:ascii="Times New Roman" w:hAnsi="Times New Roman" w:cs="Times New Roman"/>
          <w:sz w:val="24"/>
          <w:szCs w:val="24"/>
        </w:rPr>
        <w:t>spin</w:t>
      </w:r>
      <w:r w:rsidRPr="004144D8">
        <w:rPr>
          <w:rFonts w:ascii="Times New Roman" w:hAnsi="Times New Roman" w:cs="Times New Roman"/>
          <w:sz w:val="24"/>
          <w:szCs w:val="24"/>
        </w:rPr>
        <w:t xml:space="preserve"> and charge transfer. </w:t>
      </w:r>
      <w:r w:rsidR="009B18E1">
        <w:rPr>
          <w:rFonts w:ascii="Times New Roman" w:hAnsi="Times New Roman" w:cs="Times New Roman"/>
          <w:sz w:val="24"/>
          <w:szCs w:val="24"/>
        </w:rPr>
        <w:t xml:space="preserve">I will divide my talk into two different sub-topics, i.e., (1) how </w:t>
      </w:r>
      <w:r w:rsidRPr="004144D8">
        <w:rPr>
          <w:rFonts w:ascii="Times New Roman" w:hAnsi="Times New Roman" w:cs="Times New Roman"/>
          <w:sz w:val="24"/>
          <w:szCs w:val="24"/>
        </w:rPr>
        <w:t xml:space="preserve">matching phonon structure across interfaces through control of mode and site of attachment of molecules to surfaces allow for efficient coherent </w:t>
      </w:r>
      <w:r w:rsidR="009B18E1">
        <w:rPr>
          <w:rFonts w:ascii="Times New Roman" w:hAnsi="Times New Roman" w:cs="Times New Roman"/>
          <w:sz w:val="24"/>
          <w:szCs w:val="24"/>
        </w:rPr>
        <w:t>charge</w:t>
      </w:r>
      <w:r w:rsidRPr="004144D8">
        <w:rPr>
          <w:rFonts w:ascii="Times New Roman" w:hAnsi="Times New Roman" w:cs="Times New Roman"/>
          <w:sz w:val="24"/>
          <w:szCs w:val="24"/>
        </w:rPr>
        <w:t xml:space="preserve"> transfer and (2) </w:t>
      </w:r>
      <w:r w:rsidR="009B18E1">
        <w:rPr>
          <w:rFonts w:ascii="Times New Roman" w:hAnsi="Times New Roman" w:cs="Times New Roman"/>
          <w:sz w:val="24"/>
          <w:szCs w:val="24"/>
        </w:rPr>
        <w:t xml:space="preserve">how </w:t>
      </w:r>
      <w:r w:rsidRPr="004144D8">
        <w:rPr>
          <w:rFonts w:ascii="Times New Roman" w:hAnsi="Times New Roman" w:cs="Times New Roman"/>
          <w:sz w:val="24"/>
          <w:szCs w:val="24"/>
        </w:rPr>
        <w:t>topologically protected electronic states can be defined by 2D assembly of pi-conjugated molecules and layered organic-inorganic hybrid materials on surfaces for spin-coherent electronic transport.</w:t>
      </w:r>
      <w:r>
        <w:rPr>
          <w:rFonts w:ascii="Times New Roman" w:hAnsi="Times New Roman" w:cs="Times New Roman"/>
          <w:sz w:val="24"/>
          <w:szCs w:val="24"/>
        </w:rPr>
        <w:t xml:space="preserve"> </w:t>
      </w:r>
      <w:r w:rsidR="00EA3777">
        <w:rPr>
          <w:rFonts w:ascii="Times New Roman" w:hAnsi="Times New Roman" w:cs="Times New Roman"/>
          <w:sz w:val="24"/>
          <w:szCs w:val="24"/>
        </w:rPr>
        <w:t>Here, I will emphasize the role that dimensionality plays in modulating the spin and charge properties of organic-inorganic hybrid structures.</w:t>
      </w:r>
      <w:r w:rsidR="00D8013D">
        <w:rPr>
          <w:rFonts w:ascii="Times New Roman" w:hAnsi="Times New Roman" w:cs="Times New Roman"/>
          <w:sz w:val="24"/>
          <w:szCs w:val="24"/>
        </w:rPr>
        <w:t xml:space="preserve"> </w:t>
      </w:r>
      <w:r w:rsidRPr="004144D8">
        <w:rPr>
          <w:rFonts w:ascii="Times New Roman" w:hAnsi="Times New Roman" w:cs="Times New Roman"/>
          <w:sz w:val="24"/>
          <w:szCs w:val="24"/>
        </w:rPr>
        <w:t xml:space="preserve">The common thread between these </w:t>
      </w:r>
      <w:r w:rsidR="009B18E1">
        <w:rPr>
          <w:rFonts w:ascii="Times New Roman" w:hAnsi="Times New Roman" w:cs="Times New Roman"/>
          <w:sz w:val="24"/>
          <w:szCs w:val="24"/>
        </w:rPr>
        <w:t>two sub-topics</w:t>
      </w:r>
      <w:r w:rsidRPr="004144D8">
        <w:rPr>
          <w:rFonts w:ascii="Times New Roman" w:hAnsi="Times New Roman" w:cs="Times New Roman"/>
          <w:sz w:val="24"/>
          <w:szCs w:val="24"/>
        </w:rPr>
        <w:t xml:space="preserve"> is the fundamental understanding of energy and charge transfer at the interfaces of organic-inorganic hybrid materials to control charge (spin) injection, transport, manipulation, and detection with implications for photovoltaics, energy storage, quantum electronics, and spintronics</w:t>
      </w:r>
      <w:r w:rsidR="009B18E1">
        <w:rPr>
          <w:rFonts w:ascii="Times New Roman" w:hAnsi="Times New Roman" w:cs="Times New Roman"/>
          <w:b/>
          <w:i/>
          <w:sz w:val="24"/>
          <w:szCs w:val="24"/>
        </w:rPr>
        <w:t>.</w:t>
      </w:r>
      <w:r>
        <w:rPr>
          <w:rFonts w:ascii="Times New Roman" w:hAnsi="Times New Roman" w:cs="Times New Roman"/>
          <w:sz w:val="24"/>
          <w:szCs w:val="24"/>
        </w:rPr>
        <w:t xml:space="preserve"> </w:t>
      </w:r>
    </w:p>
    <w:p w14:paraId="264FF222" w14:textId="77777777" w:rsidR="00C0547E" w:rsidRDefault="00C0547E"/>
    <w:sectPr w:rsidR="00C0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94"/>
    <w:rsid w:val="00664EC6"/>
    <w:rsid w:val="009B18E1"/>
    <w:rsid w:val="00B30594"/>
    <w:rsid w:val="00C0547E"/>
    <w:rsid w:val="00D8013D"/>
    <w:rsid w:val="00EA377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6955"/>
  <w15:chartTrackingRefBased/>
  <w15:docId w15:val="{11082C3E-375F-48E6-A29F-20E61CDA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Schwickrath, Helen L.</cp:lastModifiedBy>
  <cp:revision>2</cp:revision>
  <dcterms:created xsi:type="dcterms:W3CDTF">2020-08-12T14:20:00Z</dcterms:created>
  <dcterms:modified xsi:type="dcterms:W3CDTF">2020-08-12T14:20:00Z</dcterms:modified>
</cp:coreProperties>
</file>