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CD7E" w14:textId="77777777" w:rsidR="000D69A7" w:rsidRDefault="00C341B3">
      <w:pPr>
        <w:pStyle w:val="Heading1"/>
        <w:jc w:val="center"/>
        <w:rPr>
          <w:lang w:val="en-US"/>
        </w:rPr>
      </w:pPr>
      <w:r>
        <w:rPr>
          <w:lang w:val="en-US"/>
        </w:rPr>
        <w:t>E</w:t>
      </w:r>
      <w:r w:rsidR="00A62293">
        <w:rPr>
          <w:lang w:val="en-US"/>
        </w:rPr>
        <w:t>nhancing MOF performance</w:t>
      </w:r>
      <w:r>
        <w:rPr>
          <w:lang w:val="en-US"/>
        </w:rPr>
        <w:t xml:space="preserve"> </w:t>
      </w:r>
      <w:r w:rsidR="00A62293">
        <w:rPr>
          <w:lang w:val="en-US"/>
        </w:rPr>
        <w:t>through the Introduction of</w:t>
      </w:r>
      <w:r>
        <w:rPr>
          <w:lang w:val="en-US"/>
        </w:rPr>
        <w:t xml:space="preserve"> </w:t>
      </w:r>
      <w:r w:rsidR="00A62293">
        <w:rPr>
          <w:lang w:val="en-US"/>
        </w:rPr>
        <w:t>polymer guests</w:t>
      </w:r>
    </w:p>
    <w:p w14:paraId="7AD82147" w14:textId="77777777" w:rsidR="000D69A7" w:rsidRDefault="000D69A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0819E13" w14:textId="77777777" w:rsidR="00FC39DA" w:rsidRPr="00FC39DA" w:rsidRDefault="00FC39DA" w:rsidP="00FC39DA">
      <w:pPr>
        <w:contextualSpacing/>
        <w:jc w:val="center"/>
        <w:rPr>
          <w:rFonts w:cs="Arial"/>
          <w:sz w:val="24"/>
          <w:szCs w:val="24"/>
          <w:lang w:val="en-GB"/>
        </w:rPr>
      </w:pPr>
      <w:proofErr w:type="spellStart"/>
      <w:r w:rsidRPr="00FC39DA">
        <w:rPr>
          <w:rFonts w:cs="Arial"/>
          <w:bCs/>
          <w:sz w:val="24"/>
          <w:szCs w:val="24"/>
          <w:lang w:val="en-GB"/>
        </w:rPr>
        <w:t>Shuliang</w:t>
      </w:r>
      <w:proofErr w:type="spellEnd"/>
      <w:r w:rsidRPr="00FC39DA">
        <w:rPr>
          <w:rFonts w:cs="Arial"/>
          <w:bCs/>
          <w:sz w:val="24"/>
          <w:szCs w:val="24"/>
          <w:lang w:val="en-GB"/>
        </w:rPr>
        <w:t xml:space="preserve"> </w:t>
      </w:r>
      <w:proofErr w:type="gramStart"/>
      <w:r w:rsidRPr="00FC39DA">
        <w:rPr>
          <w:rFonts w:cs="Arial"/>
          <w:bCs/>
          <w:sz w:val="24"/>
          <w:szCs w:val="24"/>
          <w:lang w:val="en-GB"/>
        </w:rPr>
        <w:t>Yang,</w:t>
      </w:r>
      <w:r w:rsidRPr="00FC39DA">
        <w:rPr>
          <w:rFonts w:ascii="Arial" w:hAnsi="Arial" w:cs="Arial"/>
          <w:iCs/>
          <w:vertAlign w:val="superscript"/>
          <w:lang w:val="en-US"/>
        </w:rPr>
        <w:t xml:space="preserve"> </w:t>
      </w:r>
      <w:r w:rsidRPr="00FC39DA">
        <w:rPr>
          <w:rFonts w:cs="Arial"/>
          <w:bCs/>
          <w:sz w:val="24"/>
          <w:szCs w:val="24"/>
          <w:lang w:val="en-GB"/>
        </w:rPr>
        <w:t xml:space="preserve"> Daniel</w:t>
      </w:r>
      <w:proofErr w:type="gramEnd"/>
      <w:r w:rsidRPr="00FC39DA">
        <w:rPr>
          <w:rFonts w:cs="Arial"/>
          <w:bCs/>
          <w:sz w:val="24"/>
          <w:szCs w:val="24"/>
          <w:lang w:val="en-GB"/>
        </w:rPr>
        <w:t xml:space="preserve"> T. Sun, </w:t>
      </w:r>
      <w:r w:rsidR="001A05A2" w:rsidRPr="00FC39DA">
        <w:rPr>
          <w:rFonts w:cs="Arial"/>
          <w:bCs/>
          <w:sz w:val="24"/>
          <w:szCs w:val="24"/>
          <w:lang w:val="en-GB"/>
        </w:rPr>
        <w:t>Li</w:t>
      </w:r>
      <w:r w:rsidR="001A05A2" w:rsidRPr="00FC39DA">
        <w:rPr>
          <w:rFonts w:cs="Arial"/>
          <w:b/>
          <w:sz w:val="24"/>
          <w:szCs w:val="24"/>
          <w:lang w:val="en-GB"/>
        </w:rPr>
        <w:t xml:space="preserve"> </w:t>
      </w:r>
      <w:r w:rsidR="001A05A2" w:rsidRPr="00FC39DA">
        <w:rPr>
          <w:rFonts w:cs="Arial"/>
          <w:sz w:val="24"/>
          <w:szCs w:val="24"/>
          <w:lang w:val="en-GB"/>
        </w:rPr>
        <w:t>Peng,</w:t>
      </w:r>
      <w:r w:rsidR="001A05A2">
        <w:rPr>
          <w:rFonts w:cs="Arial"/>
          <w:sz w:val="24"/>
          <w:szCs w:val="24"/>
          <w:lang w:val="en-GB"/>
        </w:rPr>
        <w:t xml:space="preserve"> </w:t>
      </w:r>
      <w:r w:rsidRPr="00FC39DA">
        <w:rPr>
          <w:rFonts w:cs="Arial"/>
          <w:bCs/>
          <w:sz w:val="24"/>
          <w:szCs w:val="24"/>
          <w:lang w:val="en-GB"/>
        </w:rPr>
        <w:t>Vikram</w:t>
      </w:r>
      <w:r w:rsidRPr="00FC39DA">
        <w:rPr>
          <w:rFonts w:cs="Arial"/>
          <w:bCs/>
          <w:sz w:val="24"/>
          <w:szCs w:val="24"/>
          <w:vertAlign w:val="superscript"/>
          <w:lang w:val="en-GB"/>
        </w:rPr>
        <w:t xml:space="preserve"> </w:t>
      </w:r>
      <w:r w:rsidRPr="00FC39DA">
        <w:rPr>
          <w:rFonts w:cs="Arial"/>
          <w:bCs/>
          <w:sz w:val="24"/>
          <w:szCs w:val="24"/>
          <w:lang w:val="en-GB"/>
        </w:rPr>
        <w:t xml:space="preserve">V. </w:t>
      </w:r>
      <w:proofErr w:type="spellStart"/>
      <w:r w:rsidRPr="00FC39DA">
        <w:rPr>
          <w:rFonts w:cs="Arial"/>
          <w:bCs/>
          <w:sz w:val="24"/>
          <w:szCs w:val="24"/>
          <w:lang w:val="en-GB"/>
        </w:rPr>
        <w:t>Karve</w:t>
      </w:r>
      <w:proofErr w:type="spellEnd"/>
      <w:r w:rsidRPr="00FC39DA">
        <w:rPr>
          <w:rFonts w:cs="Arial"/>
          <w:bCs/>
          <w:sz w:val="24"/>
          <w:szCs w:val="24"/>
          <w:lang w:val="en-GB"/>
        </w:rPr>
        <w:t xml:space="preserve">, </w:t>
      </w:r>
      <w:r w:rsidRPr="00FC39DA">
        <w:rPr>
          <w:rFonts w:cs="Arial"/>
          <w:sz w:val="24"/>
          <w:szCs w:val="24"/>
          <w:lang w:val="en-GB"/>
        </w:rPr>
        <w:t xml:space="preserve">Natalia </w:t>
      </w:r>
      <w:proofErr w:type="spellStart"/>
      <w:r w:rsidRPr="00FC39DA">
        <w:rPr>
          <w:rFonts w:cs="Arial"/>
          <w:sz w:val="24"/>
          <w:szCs w:val="24"/>
          <w:lang w:val="en-GB"/>
        </w:rPr>
        <w:t>Gasilova</w:t>
      </w:r>
      <w:proofErr w:type="spellEnd"/>
      <w:r w:rsidRPr="00FC39DA">
        <w:rPr>
          <w:rFonts w:cs="Arial"/>
          <w:sz w:val="24"/>
          <w:szCs w:val="24"/>
          <w:lang w:val="en-GB"/>
        </w:rPr>
        <w:t xml:space="preserve">, </w:t>
      </w:r>
      <w:r w:rsidR="001A05A2">
        <w:rPr>
          <w:rFonts w:cs="Arial"/>
          <w:sz w:val="24"/>
          <w:szCs w:val="24"/>
          <w:lang w:val="en-GB"/>
        </w:rPr>
        <w:t xml:space="preserve">Mehrdad </w:t>
      </w:r>
      <w:proofErr w:type="spellStart"/>
      <w:r w:rsidR="001A05A2">
        <w:rPr>
          <w:rFonts w:cs="Arial"/>
          <w:sz w:val="24"/>
          <w:szCs w:val="24"/>
          <w:lang w:val="en-GB"/>
        </w:rPr>
        <w:t>Asgari</w:t>
      </w:r>
      <w:proofErr w:type="spellEnd"/>
      <w:r w:rsidR="001A05A2">
        <w:rPr>
          <w:rFonts w:cs="Arial"/>
          <w:sz w:val="24"/>
          <w:szCs w:val="24"/>
          <w:lang w:val="en-GB"/>
        </w:rPr>
        <w:t xml:space="preserve">, </w:t>
      </w:r>
      <w:r w:rsidRPr="00FC39DA">
        <w:rPr>
          <w:rFonts w:cs="Arial"/>
          <w:sz w:val="24"/>
          <w:szCs w:val="24"/>
          <w:lang w:val="en-GB"/>
        </w:rPr>
        <w:t xml:space="preserve">Emad </w:t>
      </w:r>
      <w:proofErr w:type="spellStart"/>
      <w:r w:rsidRPr="00FC39DA">
        <w:rPr>
          <w:rFonts w:cs="Arial"/>
          <w:sz w:val="24"/>
          <w:szCs w:val="24"/>
          <w:lang w:val="en-GB"/>
        </w:rPr>
        <w:t>Oveisi</w:t>
      </w:r>
      <w:proofErr w:type="spellEnd"/>
      <w:r w:rsidRPr="00FC39DA">
        <w:rPr>
          <w:rFonts w:cs="Arial"/>
          <w:sz w:val="24"/>
          <w:szCs w:val="24"/>
          <w:lang w:val="en-GB"/>
        </w:rPr>
        <w:t xml:space="preserve">, Olga </w:t>
      </w:r>
      <w:proofErr w:type="spellStart"/>
      <w:r w:rsidRPr="00FC39DA">
        <w:rPr>
          <w:rFonts w:cs="Arial"/>
          <w:sz w:val="24"/>
          <w:szCs w:val="24"/>
          <w:lang w:val="en-GB"/>
        </w:rPr>
        <w:t>Trukhina</w:t>
      </w:r>
      <w:proofErr w:type="spellEnd"/>
      <w:r w:rsidRPr="00FC39DA">
        <w:rPr>
          <w:rFonts w:cs="Arial"/>
          <w:sz w:val="24"/>
          <w:szCs w:val="24"/>
          <w:lang w:val="en-GB"/>
        </w:rPr>
        <w:t xml:space="preserve">, </w:t>
      </w:r>
      <w:r w:rsidR="001A05A2">
        <w:rPr>
          <w:rFonts w:cs="Arial"/>
          <w:sz w:val="24"/>
          <w:szCs w:val="24"/>
          <w:lang w:val="en-GB"/>
        </w:rPr>
        <w:t xml:space="preserve">and </w:t>
      </w:r>
      <w:r w:rsidRPr="00A62293">
        <w:rPr>
          <w:rFonts w:cs="Arial"/>
          <w:sz w:val="24"/>
          <w:szCs w:val="24"/>
          <w:lang w:val="en-GB"/>
        </w:rPr>
        <w:t>Wendy L. Queen</w:t>
      </w:r>
      <w:r w:rsidRPr="00FC39DA">
        <w:rPr>
          <w:rFonts w:cs="Arial"/>
          <w:sz w:val="24"/>
          <w:szCs w:val="24"/>
          <w:lang w:val="en-GB"/>
        </w:rPr>
        <w:t xml:space="preserve"> </w:t>
      </w:r>
    </w:p>
    <w:p w14:paraId="179A0D5B" w14:textId="77777777" w:rsidR="000D69A7" w:rsidRDefault="000D69A7">
      <w:pPr>
        <w:jc w:val="center"/>
        <w:rPr>
          <w:rFonts w:ascii="Arial" w:hAnsi="Arial" w:cs="Arial"/>
          <w:lang w:val="en-US"/>
        </w:rPr>
      </w:pPr>
    </w:p>
    <w:p w14:paraId="0BFF165B" w14:textId="77777777" w:rsidR="00FC39DA" w:rsidRPr="00FC39DA" w:rsidRDefault="00310B80" w:rsidP="00FC39DA">
      <w:pPr>
        <w:contextualSpacing/>
        <w:jc w:val="center"/>
        <w:rPr>
          <w:rFonts w:cs="Arial"/>
          <w:lang w:val="en-GB"/>
        </w:rPr>
      </w:pPr>
      <w:r>
        <w:rPr>
          <w:rFonts w:ascii="Arial" w:hAnsi="Arial" w:cs="Arial"/>
          <w:iCs/>
          <w:vertAlign w:val="superscript"/>
          <w:lang w:val="en-US"/>
        </w:rPr>
        <w:t xml:space="preserve">1 </w:t>
      </w:r>
      <w:r w:rsidR="00FC39DA" w:rsidRPr="00FC39DA">
        <w:rPr>
          <w:rFonts w:cs="Arial"/>
          <w:i/>
          <w:lang w:val="en-US"/>
        </w:rPr>
        <w:t xml:space="preserve">Institute of Chemical Sciences and Engineering, École Polytechnique </w:t>
      </w:r>
      <w:proofErr w:type="spellStart"/>
      <w:r w:rsidR="00FC39DA" w:rsidRPr="00FC39DA">
        <w:rPr>
          <w:rFonts w:cs="Arial"/>
          <w:i/>
          <w:lang w:val="en-US"/>
        </w:rPr>
        <w:t>Fédérale</w:t>
      </w:r>
      <w:proofErr w:type="spellEnd"/>
      <w:r w:rsidR="00FC39DA" w:rsidRPr="00FC39DA">
        <w:rPr>
          <w:rFonts w:cs="Arial"/>
          <w:i/>
          <w:lang w:val="en-US"/>
        </w:rPr>
        <w:t xml:space="preserve"> de Lausanne (EPFL) Sion, Switzerland</w:t>
      </w:r>
      <w:r w:rsidR="00FC39DA">
        <w:rPr>
          <w:rFonts w:cs="Arial"/>
          <w:i/>
          <w:lang w:val="en-US"/>
        </w:rPr>
        <w:t>; wendy.queen@epfl.ch</w:t>
      </w:r>
    </w:p>
    <w:p w14:paraId="540960AC" w14:textId="77777777" w:rsidR="000D69A7" w:rsidRDefault="000D69A7">
      <w:pPr>
        <w:rPr>
          <w:sz w:val="24"/>
          <w:szCs w:val="24"/>
          <w:lang w:val="en-US"/>
        </w:rPr>
      </w:pPr>
    </w:p>
    <w:p w14:paraId="06CE887F" w14:textId="77777777" w:rsidR="001A05A2" w:rsidRPr="00A62293" w:rsidRDefault="00FC39DA" w:rsidP="00FC39DA">
      <w:pPr>
        <w:spacing w:after="120" w:line="280" w:lineRule="exact"/>
        <w:jc w:val="both"/>
        <w:rPr>
          <w:sz w:val="24"/>
          <w:szCs w:val="24"/>
          <w:lang w:val="en-US" w:eastAsia="zh-CN"/>
        </w:rPr>
      </w:pPr>
      <w:r w:rsidRPr="00A62293">
        <w:rPr>
          <w:sz w:val="24"/>
          <w:szCs w:val="24"/>
          <w:lang w:val="en-US"/>
        </w:rPr>
        <w:t xml:space="preserve">Among several classes of porous materials, </w:t>
      </w:r>
      <w:r w:rsidRPr="00A62293">
        <w:rPr>
          <w:sz w:val="24"/>
          <w:szCs w:val="24"/>
          <w:lang w:val="en-US" w:eastAsia="zh-CN"/>
        </w:rPr>
        <w:t>metal-organic frameworks (MOFs) are particularly attractive due to their unprecedented internal surface areas (up to 7800 m</w:t>
      </w:r>
      <w:r w:rsidRPr="00A62293">
        <w:rPr>
          <w:sz w:val="24"/>
          <w:szCs w:val="24"/>
          <w:vertAlign w:val="superscript"/>
          <w:lang w:val="en-US" w:eastAsia="zh-CN"/>
        </w:rPr>
        <w:t>2</w:t>
      </w:r>
      <w:r w:rsidRPr="00A62293">
        <w:rPr>
          <w:sz w:val="24"/>
          <w:szCs w:val="24"/>
          <w:lang w:val="en-US" w:eastAsia="zh-CN"/>
        </w:rPr>
        <w:t>/g),</w:t>
      </w:r>
      <w:r w:rsidR="00F33706" w:rsidRPr="00A62293">
        <w:rPr>
          <w:sz w:val="24"/>
          <w:szCs w:val="24"/>
          <w:vertAlign w:val="superscript"/>
          <w:lang w:val="en-US" w:eastAsia="zh-CN"/>
        </w:rPr>
        <w:t>[1]</w:t>
      </w:r>
      <w:r w:rsidRPr="00A62293">
        <w:rPr>
          <w:sz w:val="24"/>
          <w:szCs w:val="24"/>
          <w:lang w:val="en-US" w:eastAsia="zh-CN"/>
        </w:rPr>
        <w:t xml:space="preserve"> easy chemical tunability, and strong, selective binding of a host of guest species. Through judicious selection of MOF building blocks, which include metal ions and organic ligands, one can readily modify their properties for a variety of potential applications. Despite these attractive features, there are still challenges in the field that limit our ability to use MOFs as a solution for a wide range of industrial problems. For instance, some MOFs have limited mechanical and chemical stability, particularly in highly humid, </w:t>
      </w:r>
      <w:proofErr w:type="gramStart"/>
      <w:r w:rsidRPr="00A62293">
        <w:rPr>
          <w:sz w:val="24"/>
          <w:szCs w:val="24"/>
          <w:lang w:val="en-US" w:eastAsia="zh-CN"/>
        </w:rPr>
        <w:t>acidic</w:t>
      </w:r>
      <w:proofErr w:type="gramEnd"/>
      <w:r w:rsidRPr="00A62293">
        <w:rPr>
          <w:sz w:val="24"/>
          <w:szCs w:val="24"/>
          <w:lang w:val="en-US" w:eastAsia="zh-CN"/>
        </w:rPr>
        <w:t xml:space="preserve"> or basic environments. Overcoming this problem could lead to extended lifetimes and hence increased feasibility for their use in areas where such conditions are required. </w:t>
      </w:r>
    </w:p>
    <w:p w14:paraId="3C5713BA" w14:textId="77777777" w:rsidR="000D69A7" w:rsidRDefault="00FC39DA" w:rsidP="002A008F">
      <w:pPr>
        <w:spacing w:after="120" w:line="280" w:lineRule="exact"/>
        <w:jc w:val="both"/>
        <w:rPr>
          <w:sz w:val="24"/>
          <w:szCs w:val="24"/>
          <w:lang w:val="en-US" w:eastAsia="zh-CN"/>
        </w:rPr>
      </w:pPr>
      <w:r w:rsidRPr="00A62293">
        <w:rPr>
          <w:sz w:val="24"/>
          <w:szCs w:val="24"/>
          <w:lang w:val="en-US" w:eastAsia="zh-CN"/>
        </w:rPr>
        <w:t xml:space="preserve">In response to these needs, we have recently begun to combine MOFs and polymers </w:t>
      </w:r>
      <w:proofErr w:type="gramStart"/>
      <w:r w:rsidRPr="00A62293">
        <w:rPr>
          <w:sz w:val="24"/>
          <w:szCs w:val="24"/>
          <w:lang w:val="en-US" w:eastAsia="zh-CN"/>
        </w:rPr>
        <w:t>in an effort to</w:t>
      </w:r>
      <w:proofErr w:type="gramEnd"/>
      <w:r w:rsidRPr="00A62293">
        <w:rPr>
          <w:sz w:val="24"/>
          <w:szCs w:val="24"/>
          <w:lang w:val="en-US" w:eastAsia="zh-CN"/>
        </w:rPr>
        <w:t xml:space="preserve"> boost MOF performance and extend their stability. Our recent work demonstrates that selected polymers can significantly enhance MOF performance in a number of important liquid and gas separations</w:t>
      </w:r>
      <w:r w:rsidRPr="00A62293">
        <w:rPr>
          <w:sz w:val="24"/>
          <w:szCs w:val="24"/>
          <w:vertAlign w:val="superscript"/>
          <w:lang w:val="en-US" w:eastAsia="zh-CN"/>
        </w:rPr>
        <w:t>[</w:t>
      </w:r>
      <w:r w:rsidR="00F33706" w:rsidRPr="00A62293">
        <w:rPr>
          <w:sz w:val="24"/>
          <w:szCs w:val="24"/>
          <w:vertAlign w:val="superscript"/>
          <w:lang w:val="en-US" w:eastAsia="zh-CN"/>
        </w:rPr>
        <w:t>2</w:t>
      </w:r>
      <w:r w:rsidRPr="00A62293">
        <w:rPr>
          <w:sz w:val="24"/>
          <w:szCs w:val="24"/>
          <w:vertAlign w:val="superscript"/>
          <w:lang w:val="en-US" w:eastAsia="zh-CN"/>
        </w:rPr>
        <w:t>-</w:t>
      </w:r>
      <w:r w:rsidR="00F33706" w:rsidRPr="00A62293">
        <w:rPr>
          <w:sz w:val="24"/>
          <w:szCs w:val="24"/>
          <w:vertAlign w:val="superscript"/>
          <w:lang w:val="en-US" w:eastAsia="zh-CN"/>
        </w:rPr>
        <w:t>4</w:t>
      </w:r>
      <w:r w:rsidRPr="00A62293">
        <w:rPr>
          <w:sz w:val="24"/>
          <w:szCs w:val="24"/>
          <w:vertAlign w:val="superscript"/>
          <w:lang w:val="en-US" w:eastAsia="zh-CN"/>
        </w:rPr>
        <w:t xml:space="preserve">] </w:t>
      </w:r>
      <w:r w:rsidRPr="00A62293">
        <w:rPr>
          <w:sz w:val="24"/>
          <w:szCs w:val="24"/>
          <w:lang w:val="en-US" w:eastAsia="zh-CN"/>
        </w:rPr>
        <w:t>as well as extend catalyst lifetimes in selected reactions.</w:t>
      </w:r>
      <w:r w:rsidRPr="00A62293">
        <w:rPr>
          <w:sz w:val="24"/>
          <w:szCs w:val="24"/>
          <w:vertAlign w:val="superscript"/>
          <w:lang w:val="en-US" w:eastAsia="zh-CN"/>
        </w:rPr>
        <w:t>[</w:t>
      </w:r>
      <w:r w:rsidR="00F33706" w:rsidRPr="00A62293">
        <w:rPr>
          <w:sz w:val="24"/>
          <w:szCs w:val="24"/>
          <w:vertAlign w:val="superscript"/>
          <w:lang w:val="en-US" w:eastAsia="zh-CN"/>
        </w:rPr>
        <w:t>5</w:t>
      </w:r>
      <w:r w:rsidRPr="00A62293">
        <w:rPr>
          <w:sz w:val="24"/>
          <w:szCs w:val="24"/>
          <w:vertAlign w:val="superscript"/>
          <w:lang w:val="en-US" w:eastAsia="zh-CN"/>
        </w:rPr>
        <w:t>]</w:t>
      </w:r>
      <w:r w:rsidRPr="00A62293">
        <w:rPr>
          <w:sz w:val="24"/>
          <w:szCs w:val="24"/>
          <w:lang w:val="en-US" w:eastAsia="zh-CN"/>
        </w:rPr>
        <w:t xml:space="preserve"> In addition to this, controlled polymerization processes were employed to enhance the mechanical stability</w:t>
      </w:r>
      <w:r w:rsidRPr="00A62293">
        <w:rPr>
          <w:sz w:val="24"/>
          <w:szCs w:val="24"/>
          <w:vertAlign w:val="superscript"/>
          <w:lang w:val="en-US" w:eastAsia="zh-CN"/>
        </w:rPr>
        <w:t>[</w:t>
      </w:r>
      <w:r w:rsidR="00F33706" w:rsidRPr="00A62293">
        <w:rPr>
          <w:sz w:val="24"/>
          <w:szCs w:val="24"/>
          <w:vertAlign w:val="superscript"/>
          <w:lang w:val="en-US" w:eastAsia="zh-CN"/>
        </w:rPr>
        <w:t>6</w:t>
      </w:r>
      <w:r w:rsidRPr="00A62293">
        <w:rPr>
          <w:sz w:val="24"/>
          <w:szCs w:val="24"/>
          <w:vertAlign w:val="superscript"/>
          <w:lang w:val="en-US" w:eastAsia="zh-CN"/>
        </w:rPr>
        <w:t>]</w:t>
      </w:r>
      <w:r w:rsidRPr="00A62293">
        <w:rPr>
          <w:sz w:val="24"/>
          <w:szCs w:val="24"/>
          <w:lang w:val="en-US" w:eastAsia="zh-CN"/>
        </w:rPr>
        <w:t xml:space="preserve"> of large pore frameworks and extend the chemical stability of a number structurally diverse MOFs not only in humid environments, but also in acidic and basic media.</w:t>
      </w:r>
      <w:r w:rsidRPr="00A62293">
        <w:rPr>
          <w:sz w:val="24"/>
          <w:szCs w:val="24"/>
          <w:vertAlign w:val="superscript"/>
          <w:lang w:val="en-US" w:eastAsia="zh-CN"/>
        </w:rPr>
        <w:t>[</w:t>
      </w:r>
      <w:r w:rsidR="00F33706" w:rsidRPr="00A62293">
        <w:rPr>
          <w:sz w:val="24"/>
          <w:szCs w:val="24"/>
          <w:vertAlign w:val="superscript"/>
          <w:lang w:val="en-US" w:eastAsia="zh-CN"/>
        </w:rPr>
        <w:t>7</w:t>
      </w:r>
      <w:r w:rsidRPr="00A62293">
        <w:rPr>
          <w:sz w:val="24"/>
          <w:szCs w:val="24"/>
          <w:vertAlign w:val="superscript"/>
          <w:lang w:val="en-US" w:eastAsia="zh-CN"/>
        </w:rPr>
        <w:t>]</w:t>
      </w:r>
      <w:r w:rsidRPr="00A62293">
        <w:rPr>
          <w:sz w:val="24"/>
          <w:szCs w:val="24"/>
          <w:lang w:val="en-US" w:eastAsia="zh-CN"/>
        </w:rPr>
        <w:t xml:space="preserve"> We </w:t>
      </w:r>
      <w:r w:rsidR="002A008F" w:rsidRPr="00A62293">
        <w:rPr>
          <w:sz w:val="24"/>
          <w:szCs w:val="24"/>
          <w:lang w:val="en-US" w:eastAsia="zh-CN"/>
        </w:rPr>
        <w:t xml:space="preserve">hope </w:t>
      </w:r>
      <w:r w:rsidRPr="00A62293">
        <w:rPr>
          <w:sz w:val="24"/>
          <w:szCs w:val="24"/>
          <w:lang w:val="en-US" w:eastAsia="zh-CN"/>
        </w:rPr>
        <w:t>such work can help bring these frameworks a few steps closer to their deployment into a range of ecologically and economically important applications. In this presentation</w:t>
      </w:r>
      <w:r w:rsidR="0089526F">
        <w:rPr>
          <w:sz w:val="24"/>
          <w:szCs w:val="24"/>
          <w:lang w:val="en-US" w:eastAsia="zh-CN"/>
        </w:rPr>
        <w:t>,</w:t>
      </w:r>
      <w:r w:rsidRPr="00A62293">
        <w:rPr>
          <w:sz w:val="24"/>
          <w:szCs w:val="24"/>
          <w:lang w:val="en-US" w:eastAsia="zh-CN"/>
        </w:rPr>
        <w:t xml:space="preserve"> our recent work</w:t>
      </w:r>
      <w:r w:rsidR="00917D9C">
        <w:rPr>
          <w:sz w:val="24"/>
          <w:szCs w:val="24"/>
          <w:lang w:val="en-US" w:eastAsia="zh-CN"/>
        </w:rPr>
        <w:t>,</w:t>
      </w:r>
      <w:r w:rsidRPr="00A62293">
        <w:rPr>
          <w:sz w:val="24"/>
          <w:szCs w:val="24"/>
          <w:lang w:val="en-US" w:eastAsia="zh-CN"/>
        </w:rPr>
        <w:t xml:space="preserve"> devoted to the development of novel MOF polymer composites</w:t>
      </w:r>
      <w:r w:rsidR="00917D9C">
        <w:rPr>
          <w:sz w:val="24"/>
          <w:szCs w:val="24"/>
          <w:lang w:val="en-US" w:eastAsia="zh-CN"/>
        </w:rPr>
        <w:t>,</w:t>
      </w:r>
      <w:r w:rsidRPr="00A62293">
        <w:rPr>
          <w:sz w:val="24"/>
          <w:szCs w:val="24"/>
          <w:lang w:val="en-US" w:eastAsia="zh-CN"/>
        </w:rPr>
        <w:t xml:space="preserve"> </w:t>
      </w:r>
      <w:r w:rsidR="002A008F" w:rsidRPr="00A62293">
        <w:rPr>
          <w:sz w:val="24"/>
          <w:szCs w:val="24"/>
          <w:lang w:val="en-US" w:eastAsia="zh-CN"/>
        </w:rPr>
        <w:t xml:space="preserve">will be outlined. </w:t>
      </w:r>
    </w:p>
    <w:p w14:paraId="739CAB1F" w14:textId="77777777" w:rsidR="00A62293" w:rsidRPr="00A62293" w:rsidRDefault="00A62293" w:rsidP="002A008F">
      <w:pPr>
        <w:spacing w:after="120" w:line="280" w:lineRule="exact"/>
        <w:jc w:val="both"/>
        <w:rPr>
          <w:sz w:val="24"/>
          <w:szCs w:val="24"/>
          <w:lang w:val="en-US" w:eastAsia="zh-CN"/>
        </w:rPr>
      </w:pPr>
    </w:p>
    <w:p w14:paraId="5C5DBB52" w14:textId="77777777" w:rsidR="00F33706" w:rsidRDefault="000D69A7" w:rsidP="00A62293">
      <w:pPr>
        <w:ind w:left="270" w:hanging="270"/>
        <w:rPr>
          <w:sz w:val="24"/>
          <w:szCs w:val="24"/>
          <w:lang w:val="en-GB"/>
        </w:rPr>
      </w:pPr>
      <w:r w:rsidRPr="00A62293">
        <w:rPr>
          <w:sz w:val="24"/>
          <w:szCs w:val="24"/>
          <w:lang w:val="en-GB"/>
        </w:rPr>
        <w:t>References</w:t>
      </w:r>
    </w:p>
    <w:p w14:paraId="12E82AC2" w14:textId="77777777" w:rsidR="00A62293" w:rsidRPr="00A62293" w:rsidRDefault="00A62293" w:rsidP="00A62293">
      <w:pPr>
        <w:ind w:left="270" w:hanging="270"/>
        <w:rPr>
          <w:sz w:val="24"/>
          <w:szCs w:val="24"/>
          <w:lang w:val="en-GB"/>
        </w:rPr>
      </w:pPr>
    </w:p>
    <w:p w14:paraId="6FBD1284" w14:textId="77777777" w:rsidR="00FC39DA" w:rsidRPr="00A62293" w:rsidRDefault="00F33706" w:rsidP="00A62293">
      <w:pPr>
        <w:snapToGrid w:val="0"/>
        <w:ind w:left="270" w:hanging="270"/>
        <w:jc w:val="both"/>
        <w:rPr>
          <w:noProof/>
          <w:sz w:val="24"/>
          <w:szCs w:val="24"/>
          <w:lang w:val="en-US"/>
        </w:rPr>
      </w:pPr>
      <w:r w:rsidRPr="00642C5D">
        <w:rPr>
          <w:noProof/>
          <w:sz w:val="24"/>
          <w:szCs w:val="24"/>
          <w:lang w:val="en-US"/>
        </w:rPr>
        <w:t>1</w:t>
      </w:r>
      <w:r w:rsidR="00A62293" w:rsidRPr="00642C5D">
        <w:rPr>
          <w:noProof/>
          <w:sz w:val="24"/>
          <w:szCs w:val="24"/>
          <w:lang w:val="en-US"/>
        </w:rPr>
        <w:t>.</w:t>
      </w:r>
      <w:r w:rsidRPr="00642C5D">
        <w:rPr>
          <w:noProof/>
          <w:sz w:val="24"/>
          <w:szCs w:val="24"/>
          <w:lang w:val="en-US"/>
        </w:rPr>
        <w:t xml:space="preserve"> Hönicke, I. M.; Bon, I. S. V.; Baburin, I. A.; Bönisch, N.; Raschke, S.; Evans, J. D.; Kaskel, S.  </w:t>
      </w:r>
      <w:r w:rsidRPr="00A62293">
        <w:rPr>
          <w:i/>
          <w:noProof/>
          <w:sz w:val="24"/>
          <w:szCs w:val="24"/>
          <w:lang w:val="en-US"/>
        </w:rPr>
        <w:t xml:space="preserve">Angew. Chem. Int. Ed. </w:t>
      </w:r>
      <w:r w:rsidRPr="00A62293">
        <w:rPr>
          <w:b/>
          <w:noProof/>
          <w:sz w:val="24"/>
          <w:szCs w:val="24"/>
          <w:lang w:val="en-US"/>
        </w:rPr>
        <w:t>2018,</w:t>
      </w:r>
      <w:r w:rsidRPr="00A62293">
        <w:rPr>
          <w:noProof/>
          <w:sz w:val="24"/>
          <w:szCs w:val="24"/>
          <w:lang w:val="en-US"/>
        </w:rPr>
        <w:t xml:space="preserve"> </w:t>
      </w:r>
      <w:r w:rsidRPr="00A62293">
        <w:rPr>
          <w:i/>
          <w:noProof/>
          <w:sz w:val="24"/>
          <w:szCs w:val="24"/>
          <w:lang w:val="en-US"/>
        </w:rPr>
        <w:t>57</w:t>
      </w:r>
      <w:r w:rsidRPr="00A62293">
        <w:rPr>
          <w:noProof/>
          <w:sz w:val="24"/>
          <w:szCs w:val="24"/>
          <w:lang w:val="en-US"/>
        </w:rPr>
        <w:t>, 13780.</w:t>
      </w:r>
    </w:p>
    <w:p w14:paraId="437C3B14" w14:textId="77777777" w:rsidR="00FC39DA" w:rsidRPr="00A62293" w:rsidRDefault="00A62293" w:rsidP="00A62293">
      <w:pPr>
        <w:snapToGrid w:val="0"/>
        <w:ind w:left="270" w:hanging="27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FC39DA" w:rsidRPr="00A62293">
        <w:rPr>
          <w:sz w:val="24"/>
          <w:szCs w:val="24"/>
          <w:lang w:val="en-US"/>
        </w:rPr>
        <w:t xml:space="preserve"> Sun, D; Peng, L.; Reeder, W. R.; Britt, D. K.; </w:t>
      </w:r>
      <w:proofErr w:type="spellStart"/>
      <w:r w:rsidR="00FC39DA" w:rsidRPr="00A62293">
        <w:rPr>
          <w:sz w:val="24"/>
          <w:szCs w:val="24"/>
          <w:lang w:val="en-US"/>
        </w:rPr>
        <w:t>Moosavi</w:t>
      </w:r>
      <w:proofErr w:type="spellEnd"/>
      <w:r w:rsidR="00FC39DA" w:rsidRPr="00A62293">
        <w:rPr>
          <w:sz w:val="24"/>
          <w:szCs w:val="24"/>
          <w:lang w:val="en-US"/>
        </w:rPr>
        <w:t xml:space="preserve">, M.; Tiana, D.; </w:t>
      </w:r>
      <w:proofErr w:type="spellStart"/>
      <w:r w:rsidR="00FC39DA" w:rsidRPr="00A62293">
        <w:rPr>
          <w:sz w:val="24"/>
          <w:szCs w:val="24"/>
          <w:lang w:val="en-US"/>
        </w:rPr>
        <w:t>Oveisi</w:t>
      </w:r>
      <w:proofErr w:type="spellEnd"/>
      <w:r w:rsidR="00FC39DA" w:rsidRPr="00A62293">
        <w:rPr>
          <w:sz w:val="24"/>
          <w:szCs w:val="24"/>
          <w:lang w:val="en-US"/>
        </w:rPr>
        <w:t xml:space="preserve">, E.; Queen, W. L.; </w:t>
      </w:r>
      <w:r w:rsidR="00FC39DA" w:rsidRPr="00A62293">
        <w:rPr>
          <w:i/>
          <w:iCs/>
          <w:sz w:val="24"/>
          <w:szCs w:val="24"/>
          <w:lang w:val="en-US"/>
        </w:rPr>
        <w:t>ACS Central Sci</w:t>
      </w:r>
      <w:r w:rsidR="00FC39DA" w:rsidRPr="00A62293">
        <w:rPr>
          <w:sz w:val="24"/>
          <w:szCs w:val="24"/>
          <w:lang w:val="en-US"/>
        </w:rPr>
        <w:t xml:space="preserve">, </w:t>
      </w:r>
      <w:r w:rsidR="00FC39DA" w:rsidRPr="00A62293">
        <w:rPr>
          <w:b/>
          <w:bCs/>
          <w:sz w:val="24"/>
          <w:szCs w:val="24"/>
          <w:lang w:val="en-US"/>
        </w:rPr>
        <w:t>2018</w:t>
      </w:r>
      <w:r w:rsidR="00FC39DA" w:rsidRPr="00A62293">
        <w:rPr>
          <w:sz w:val="24"/>
          <w:szCs w:val="24"/>
          <w:lang w:val="en-US"/>
        </w:rPr>
        <w:t xml:space="preserve">, 4, 3, 349. </w:t>
      </w:r>
    </w:p>
    <w:p w14:paraId="0FF3421D" w14:textId="77777777" w:rsidR="00FC39DA" w:rsidRPr="00A62293" w:rsidRDefault="00A62293" w:rsidP="00A62293">
      <w:pPr>
        <w:snapToGrid w:val="0"/>
        <w:ind w:left="270" w:hanging="270"/>
        <w:jc w:val="both"/>
        <w:rPr>
          <w:rFonts w:eastAsia="Calibri"/>
          <w:sz w:val="24"/>
          <w:szCs w:val="24"/>
          <w:lang w:val="en-NZ"/>
        </w:rPr>
      </w:pPr>
      <w:r>
        <w:rPr>
          <w:sz w:val="24"/>
          <w:szCs w:val="24"/>
          <w:lang w:val="en-US"/>
        </w:rPr>
        <w:t>3.</w:t>
      </w:r>
      <w:r w:rsidR="00FC39DA" w:rsidRPr="00A62293">
        <w:rPr>
          <w:color w:val="000000"/>
          <w:kern w:val="24"/>
          <w:sz w:val="24"/>
          <w:szCs w:val="24"/>
          <w:lang w:val="en-US" w:eastAsia="zh-CN"/>
        </w:rPr>
        <w:t xml:space="preserve"> </w:t>
      </w:r>
      <w:r w:rsidR="00F33706" w:rsidRPr="00A62293">
        <w:rPr>
          <w:sz w:val="24"/>
          <w:szCs w:val="24"/>
          <w:lang w:val="en-US"/>
        </w:rPr>
        <w:t xml:space="preserve">Sun, D; </w:t>
      </w:r>
      <w:r w:rsidR="00FC39DA" w:rsidRPr="00A62293">
        <w:rPr>
          <w:sz w:val="24"/>
          <w:szCs w:val="24"/>
          <w:lang w:val="en-US"/>
        </w:rPr>
        <w:t>Yang,</w:t>
      </w:r>
      <w:r w:rsidR="00F33706" w:rsidRPr="00A62293">
        <w:rPr>
          <w:sz w:val="24"/>
          <w:szCs w:val="24"/>
          <w:lang w:val="en-US"/>
        </w:rPr>
        <w:t xml:space="preserve"> S.;</w:t>
      </w:r>
      <w:r w:rsidR="00FC39DA" w:rsidRPr="00A62293">
        <w:rPr>
          <w:sz w:val="24"/>
          <w:szCs w:val="24"/>
          <w:lang w:val="en-US"/>
        </w:rPr>
        <w:t xml:space="preserve"> </w:t>
      </w:r>
      <w:proofErr w:type="spellStart"/>
      <w:r w:rsidR="00FC39DA" w:rsidRPr="00A62293">
        <w:rPr>
          <w:sz w:val="24"/>
          <w:szCs w:val="24"/>
          <w:lang w:val="en-US"/>
        </w:rPr>
        <w:t>Oveisi</w:t>
      </w:r>
      <w:proofErr w:type="spellEnd"/>
      <w:r w:rsidR="00FC39DA" w:rsidRPr="00A62293">
        <w:rPr>
          <w:sz w:val="24"/>
          <w:szCs w:val="24"/>
          <w:lang w:val="en-US"/>
        </w:rPr>
        <w:t>,</w:t>
      </w:r>
      <w:r w:rsidR="00F33706" w:rsidRPr="00A62293">
        <w:rPr>
          <w:sz w:val="24"/>
          <w:szCs w:val="24"/>
          <w:lang w:val="en-US"/>
        </w:rPr>
        <w:t xml:space="preserve"> E.;</w:t>
      </w:r>
      <w:r w:rsidR="00FC39DA" w:rsidRPr="00A62293">
        <w:rPr>
          <w:sz w:val="24"/>
          <w:szCs w:val="24"/>
          <w:lang w:val="en-US"/>
        </w:rPr>
        <w:t xml:space="preserve"> </w:t>
      </w:r>
      <w:proofErr w:type="spellStart"/>
      <w:r w:rsidR="00FC39DA" w:rsidRPr="00A62293">
        <w:rPr>
          <w:sz w:val="24"/>
          <w:szCs w:val="24"/>
          <w:lang w:val="en-US"/>
        </w:rPr>
        <w:t>Gasilova</w:t>
      </w:r>
      <w:proofErr w:type="spellEnd"/>
      <w:r w:rsidR="00FC39DA" w:rsidRPr="00A62293">
        <w:rPr>
          <w:sz w:val="24"/>
          <w:szCs w:val="24"/>
          <w:lang w:val="en-US"/>
        </w:rPr>
        <w:t>,</w:t>
      </w:r>
      <w:r w:rsidR="00F33706" w:rsidRPr="00A62293">
        <w:rPr>
          <w:sz w:val="24"/>
          <w:szCs w:val="24"/>
          <w:lang w:val="en-US"/>
        </w:rPr>
        <w:t xml:space="preserve"> N.;</w:t>
      </w:r>
      <w:r w:rsidR="00FC39DA" w:rsidRPr="00A62293">
        <w:rPr>
          <w:sz w:val="24"/>
          <w:szCs w:val="24"/>
          <w:lang w:val="en-US"/>
        </w:rPr>
        <w:t xml:space="preserve"> Queen, </w:t>
      </w:r>
      <w:r w:rsidR="00F33706" w:rsidRPr="00A62293">
        <w:rPr>
          <w:sz w:val="24"/>
          <w:szCs w:val="24"/>
          <w:lang w:val="en-US"/>
        </w:rPr>
        <w:t xml:space="preserve"> W. L. </w:t>
      </w:r>
      <w:r w:rsidR="00FC39DA" w:rsidRPr="00A62293">
        <w:rPr>
          <w:i/>
          <w:iCs/>
          <w:sz w:val="24"/>
          <w:szCs w:val="24"/>
          <w:lang w:val="en-US"/>
        </w:rPr>
        <w:t>J. Am. Chem. Soc</w:t>
      </w:r>
      <w:r w:rsidR="00FC39DA" w:rsidRPr="00A62293">
        <w:rPr>
          <w:sz w:val="24"/>
          <w:szCs w:val="24"/>
          <w:lang w:val="en-US"/>
        </w:rPr>
        <w:t xml:space="preserve">. </w:t>
      </w:r>
      <w:r w:rsidR="00FC39DA" w:rsidRPr="00A62293">
        <w:rPr>
          <w:b/>
          <w:bCs/>
          <w:sz w:val="24"/>
          <w:szCs w:val="24"/>
          <w:lang w:val="en-US"/>
        </w:rPr>
        <w:t>2018</w:t>
      </w:r>
      <w:r w:rsidR="00FC39DA" w:rsidRPr="00A62293">
        <w:rPr>
          <w:sz w:val="24"/>
          <w:szCs w:val="24"/>
          <w:lang w:val="en-US"/>
        </w:rPr>
        <w:t>, 140, 48, 16697.</w:t>
      </w:r>
    </w:p>
    <w:p w14:paraId="023C0FD5" w14:textId="77777777" w:rsidR="00FC39DA" w:rsidRPr="00A62293" w:rsidRDefault="00A62293" w:rsidP="00A62293">
      <w:pPr>
        <w:tabs>
          <w:tab w:val="left" w:pos="2250"/>
          <w:tab w:val="left" w:pos="2880"/>
          <w:tab w:val="left" w:pos="7560"/>
        </w:tabs>
        <w:snapToGrid w:val="0"/>
        <w:ind w:left="270" w:hanging="270"/>
        <w:jc w:val="both"/>
        <w:rPr>
          <w:sz w:val="24"/>
          <w:szCs w:val="24"/>
          <w:lang w:val="en-NZ"/>
        </w:rPr>
      </w:pPr>
      <w:r>
        <w:rPr>
          <w:color w:val="000000"/>
          <w:sz w:val="24"/>
          <w:szCs w:val="24"/>
          <w:lang w:val="en-US"/>
        </w:rPr>
        <w:t xml:space="preserve">4. </w:t>
      </w:r>
      <w:r w:rsidR="00F33706" w:rsidRPr="00A62293">
        <w:rPr>
          <w:sz w:val="24"/>
          <w:szCs w:val="24"/>
          <w:lang w:val="en-US"/>
        </w:rPr>
        <w:t xml:space="preserve">Peng, L.; Yang, S.; </w:t>
      </w:r>
      <w:r w:rsidR="00FC39DA" w:rsidRPr="00A62293">
        <w:rPr>
          <w:color w:val="000000"/>
          <w:sz w:val="24"/>
          <w:szCs w:val="24"/>
          <w:lang w:val="en-NZ"/>
        </w:rPr>
        <w:t xml:space="preserve"> Sun,</w:t>
      </w:r>
      <w:r w:rsidR="00F33706" w:rsidRPr="00A62293">
        <w:rPr>
          <w:color w:val="000000"/>
          <w:sz w:val="24"/>
          <w:szCs w:val="24"/>
          <w:lang w:val="en-NZ"/>
        </w:rPr>
        <w:t xml:space="preserve"> D;</w:t>
      </w:r>
      <w:r w:rsidR="00FC39DA" w:rsidRPr="00A62293">
        <w:rPr>
          <w:color w:val="000000"/>
          <w:sz w:val="24"/>
          <w:szCs w:val="24"/>
          <w:lang w:val="en-NZ"/>
        </w:rPr>
        <w:t xml:space="preserve"> </w:t>
      </w:r>
      <w:proofErr w:type="spellStart"/>
      <w:r w:rsidR="00FC39DA" w:rsidRPr="00A62293">
        <w:rPr>
          <w:color w:val="000000"/>
          <w:sz w:val="24"/>
          <w:szCs w:val="24"/>
          <w:lang w:val="en-NZ"/>
        </w:rPr>
        <w:t>Asgari</w:t>
      </w:r>
      <w:proofErr w:type="spellEnd"/>
      <w:r w:rsidR="00FC39DA" w:rsidRPr="00A62293">
        <w:rPr>
          <w:color w:val="000000"/>
          <w:sz w:val="24"/>
          <w:szCs w:val="24"/>
          <w:lang w:val="en-NZ"/>
        </w:rPr>
        <w:t>,</w:t>
      </w:r>
      <w:r w:rsidR="00F33706" w:rsidRPr="00A62293">
        <w:rPr>
          <w:color w:val="000000"/>
          <w:sz w:val="24"/>
          <w:szCs w:val="24"/>
          <w:lang w:val="en-NZ"/>
        </w:rPr>
        <w:t xml:space="preserve"> M.;</w:t>
      </w:r>
      <w:r w:rsidR="00FC39DA" w:rsidRPr="00A62293">
        <w:rPr>
          <w:color w:val="000000"/>
          <w:sz w:val="24"/>
          <w:szCs w:val="24"/>
          <w:lang w:val="en-NZ"/>
        </w:rPr>
        <w:t xml:space="preserve"> Queen,</w:t>
      </w:r>
      <w:r w:rsidR="00F33706" w:rsidRPr="00A62293">
        <w:rPr>
          <w:color w:val="000000"/>
          <w:sz w:val="24"/>
          <w:szCs w:val="24"/>
          <w:lang w:val="en-NZ"/>
        </w:rPr>
        <w:t xml:space="preserve"> W. L.</w:t>
      </w:r>
      <w:r w:rsidR="00FC39DA" w:rsidRPr="00A62293">
        <w:rPr>
          <w:rStyle w:val="Emphasis"/>
          <w:color w:val="000000"/>
          <w:sz w:val="24"/>
          <w:szCs w:val="24"/>
          <w:lang w:val="en-NZ"/>
        </w:rPr>
        <w:t xml:space="preserve"> Chem. </w:t>
      </w:r>
      <w:proofErr w:type="spellStart"/>
      <w:r w:rsidR="00FC39DA" w:rsidRPr="00A62293">
        <w:rPr>
          <w:rStyle w:val="Emphasis"/>
          <w:color w:val="000000"/>
          <w:sz w:val="24"/>
          <w:szCs w:val="24"/>
          <w:lang w:val="en-NZ"/>
        </w:rPr>
        <w:t>Commun</w:t>
      </w:r>
      <w:proofErr w:type="spellEnd"/>
      <w:r w:rsidR="00FC39DA" w:rsidRPr="00A62293">
        <w:rPr>
          <w:rStyle w:val="Emphasis"/>
          <w:color w:val="000000"/>
          <w:sz w:val="24"/>
          <w:szCs w:val="24"/>
          <w:lang w:val="en-NZ"/>
        </w:rPr>
        <w:t>.</w:t>
      </w:r>
      <w:r w:rsidR="00FC39DA" w:rsidRPr="00A62293">
        <w:rPr>
          <w:color w:val="000000"/>
          <w:sz w:val="24"/>
          <w:szCs w:val="24"/>
          <w:lang w:val="en-NZ"/>
        </w:rPr>
        <w:t xml:space="preserve"> </w:t>
      </w:r>
      <w:r w:rsidR="00FC39DA" w:rsidRPr="00A62293">
        <w:rPr>
          <w:b/>
          <w:bCs/>
          <w:color w:val="000000"/>
          <w:sz w:val="24"/>
          <w:szCs w:val="24"/>
          <w:lang w:val="en-NZ"/>
        </w:rPr>
        <w:t>2018</w:t>
      </w:r>
      <w:r w:rsidR="00FC39DA" w:rsidRPr="00A62293">
        <w:rPr>
          <w:sz w:val="24"/>
          <w:szCs w:val="24"/>
          <w:lang w:val="en-NZ"/>
        </w:rPr>
        <w:t>, 54, 10602.</w:t>
      </w:r>
    </w:p>
    <w:p w14:paraId="553801D2" w14:textId="77777777" w:rsidR="00A62293" w:rsidRDefault="00A62293" w:rsidP="00A62293">
      <w:pPr>
        <w:snapToGrid w:val="0"/>
        <w:ind w:left="270" w:right="-43" w:hanging="270"/>
        <w:jc w:val="both"/>
        <w:rPr>
          <w:sz w:val="24"/>
          <w:szCs w:val="24"/>
          <w:lang w:val="en-NZ"/>
        </w:rPr>
      </w:pPr>
      <w:r>
        <w:rPr>
          <w:sz w:val="24"/>
          <w:szCs w:val="24"/>
          <w:lang w:val="en-US"/>
        </w:rPr>
        <w:t xml:space="preserve">5. </w:t>
      </w:r>
      <w:proofErr w:type="spellStart"/>
      <w:r w:rsidR="00FC39DA" w:rsidRPr="00A62293">
        <w:rPr>
          <w:sz w:val="24"/>
          <w:szCs w:val="24"/>
          <w:lang w:val="en-NZ" w:eastAsia="zh-CN"/>
        </w:rPr>
        <w:t>Karve</w:t>
      </w:r>
      <w:proofErr w:type="spellEnd"/>
      <w:r w:rsidR="00FC39DA" w:rsidRPr="00A62293">
        <w:rPr>
          <w:sz w:val="24"/>
          <w:szCs w:val="24"/>
          <w:lang w:val="en-NZ" w:eastAsia="zh-CN"/>
        </w:rPr>
        <w:t>,</w:t>
      </w:r>
      <w:r w:rsidR="00F33706" w:rsidRPr="00A62293">
        <w:rPr>
          <w:sz w:val="24"/>
          <w:szCs w:val="24"/>
          <w:lang w:val="en-NZ" w:eastAsia="zh-CN"/>
        </w:rPr>
        <w:t xml:space="preserve"> V. V.;</w:t>
      </w:r>
      <w:r w:rsidR="00FC39DA" w:rsidRPr="00A62293">
        <w:rPr>
          <w:sz w:val="24"/>
          <w:szCs w:val="24"/>
          <w:lang w:val="en-NZ" w:eastAsia="zh-CN"/>
        </w:rPr>
        <w:t xml:space="preserve"> Sun,</w:t>
      </w:r>
      <w:r w:rsidR="00F33706" w:rsidRPr="00A62293">
        <w:rPr>
          <w:sz w:val="24"/>
          <w:szCs w:val="24"/>
          <w:lang w:val="en-NZ" w:eastAsia="zh-CN"/>
        </w:rPr>
        <w:t xml:space="preserve"> D. T.;</w:t>
      </w:r>
      <w:r w:rsidR="00FC39DA" w:rsidRPr="00A62293">
        <w:rPr>
          <w:sz w:val="24"/>
          <w:szCs w:val="24"/>
          <w:lang w:val="en-NZ" w:eastAsia="zh-CN"/>
        </w:rPr>
        <w:t xml:space="preserve"> </w:t>
      </w:r>
      <w:proofErr w:type="spellStart"/>
      <w:r w:rsidR="00FC39DA" w:rsidRPr="00A62293">
        <w:rPr>
          <w:sz w:val="24"/>
          <w:szCs w:val="24"/>
          <w:lang w:val="en-NZ" w:eastAsia="zh-CN"/>
        </w:rPr>
        <w:t>Trukhina</w:t>
      </w:r>
      <w:proofErr w:type="spellEnd"/>
      <w:r w:rsidR="00FC39DA" w:rsidRPr="00A62293">
        <w:rPr>
          <w:sz w:val="24"/>
          <w:szCs w:val="24"/>
          <w:lang w:val="en-NZ" w:eastAsia="zh-CN"/>
        </w:rPr>
        <w:t xml:space="preserve">, </w:t>
      </w:r>
      <w:r w:rsidR="00F33706" w:rsidRPr="00A62293">
        <w:rPr>
          <w:sz w:val="24"/>
          <w:szCs w:val="24"/>
          <w:lang w:val="en-NZ" w:eastAsia="zh-CN"/>
        </w:rPr>
        <w:t xml:space="preserve">O.; </w:t>
      </w:r>
      <w:r w:rsidR="00FC39DA" w:rsidRPr="00A62293">
        <w:rPr>
          <w:sz w:val="24"/>
          <w:szCs w:val="24"/>
          <w:lang w:val="en-NZ" w:eastAsia="zh-CN"/>
        </w:rPr>
        <w:t>Yang,</w:t>
      </w:r>
      <w:r w:rsidR="00F33706" w:rsidRPr="00A62293">
        <w:rPr>
          <w:sz w:val="24"/>
          <w:szCs w:val="24"/>
          <w:lang w:val="en-NZ" w:eastAsia="zh-CN"/>
        </w:rPr>
        <w:t xml:space="preserve"> S.;</w:t>
      </w:r>
      <w:r w:rsidR="00FC39DA" w:rsidRPr="00A62293">
        <w:rPr>
          <w:sz w:val="24"/>
          <w:szCs w:val="24"/>
          <w:lang w:val="en-NZ" w:eastAsia="zh-CN"/>
        </w:rPr>
        <w:t xml:space="preserve"> </w:t>
      </w:r>
      <w:proofErr w:type="spellStart"/>
      <w:r w:rsidR="00FC39DA" w:rsidRPr="00A62293">
        <w:rPr>
          <w:sz w:val="24"/>
          <w:szCs w:val="24"/>
          <w:lang w:val="en-NZ" w:eastAsia="zh-CN"/>
        </w:rPr>
        <w:t>Oveisi</w:t>
      </w:r>
      <w:proofErr w:type="spellEnd"/>
      <w:r w:rsidR="00FC39DA" w:rsidRPr="00A62293">
        <w:rPr>
          <w:sz w:val="24"/>
          <w:szCs w:val="24"/>
          <w:lang w:val="en-NZ" w:eastAsia="zh-CN"/>
        </w:rPr>
        <w:t>,</w:t>
      </w:r>
      <w:r w:rsidR="00F33706" w:rsidRPr="00A62293">
        <w:rPr>
          <w:sz w:val="24"/>
          <w:szCs w:val="24"/>
          <w:lang w:val="en-NZ" w:eastAsia="zh-CN"/>
        </w:rPr>
        <w:t xml:space="preserve"> E.;</w:t>
      </w:r>
      <w:r w:rsidR="00FC39DA" w:rsidRPr="00A62293">
        <w:rPr>
          <w:sz w:val="24"/>
          <w:szCs w:val="24"/>
          <w:lang w:val="en-NZ" w:eastAsia="zh-CN"/>
        </w:rPr>
        <w:t xml:space="preserve"> </w:t>
      </w:r>
      <w:proofErr w:type="spellStart"/>
      <w:r w:rsidR="00FC39DA" w:rsidRPr="00A62293">
        <w:rPr>
          <w:sz w:val="24"/>
          <w:szCs w:val="24"/>
          <w:lang w:val="en-NZ" w:eastAsia="zh-CN"/>
        </w:rPr>
        <w:t>Luterbacher</w:t>
      </w:r>
      <w:proofErr w:type="spellEnd"/>
      <w:r w:rsidR="00FC39DA" w:rsidRPr="00A62293">
        <w:rPr>
          <w:sz w:val="24"/>
          <w:szCs w:val="24"/>
          <w:lang w:val="en-NZ" w:eastAsia="zh-CN"/>
        </w:rPr>
        <w:t>,</w:t>
      </w:r>
      <w:r w:rsidR="00F33706" w:rsidRPr="00A62293">
        <w:rPr>
          <w:sz w:val="24"/>
          <w:szCs w:val="24"/>
          <w:lang w:val="en-NZ" w:eastAsia="zh-CN"/>
        </w:rPr>
        <w:t xml:space="preserve"> J.; </w:t>
      </w:r>
      <w:r w:rsidR="00FC39DA" w:rsidRPr="00A62293">
        <w:rPr>
          <w:sz w:val="24"/>
          <w:szCs w:val="24"/>
          <w:lang w:val="en-NZ" w:eastAsia="zh-CN"/>
        </w:rPr>
        <w:t>Queen,</w:t>
      </w:r>
      <w:r w:rsidR="00F33706" w:rsidRPr="00A62293">
        <w:rPr>
          <w:sz w:val="24"/>
          <w:szCs w:val="24"/>
          <w:lang w:val="en-NZ" w:eastAsia="zh-CN"/>
        </w:rPr>
        <w:t xml:space="preserve"> W. L.</w:t>
      </w:r>
      <w:r w:rsidR="00FC39DA" w:rsidRPr="00A62293">
        <w:rPr>
          <w:sz w:val="24"/>
          <w:szCs w:val="24"/>
          <w:lang w:val="en-NZ" w:eastAsia="zh-CN"/>
        </w:rPr>
        <w:t xml:space="preserve"> </w:t>
      </w:r>
      <w:r w:rsidR="00FC39DA" w:rsidRPr="00A62293">
        <w:rPr>
          <w:i/>
          <w:iCs/>
          <w:sz w:val="24"/>
          <w:szCs w:val="24"/>
          <w:lang w:val="en-NZ" w:eastAsia="zh-CN"/>
        </w:rPr>
        <w:t>Green Chemistry</w:t>
      </w:r>
      <w:r w:rsidR="00FC39DA" w:rsidRPr="00A62293">
        <w:rPr>
          <w:sz w:val="24"/>
          <w:szCs w:val="24"/>
          <w:lang w:val="en-NZ" w:eastAsia="zh-CN"/>
        </w:rPr>
        <w:t xml:space="preserve"> </w:t>
      </w:r>
      <w:r w:rsidR="00FC39DA" w:rsidRPr="00A62293">
        <w:rPr>
          <w:b/>
          <w:bCs/>
          <w:sz w:val="24"/>
          <w:szCs w:val="24"/>
          <w:lang w:val="en-NZ" w:eastAsia="zh-CN"/>
        </w:rPr>
        <w:t>2020</w:t>
      </w:r>
      <w:r w:rsidR="00FC39DA" w:rsidRPr="00A62293">
        <w:rPr>
          <w:sz w:val="24"/>
          <w:szCs w:val="24"/>
          <w:lang w:val="en-NZ" w:eastAsia="zh-CN"/>
        </w:rPr>
        <w:t>,</w:t>
      </w:r>
      <w:r w:rsidR="00FC39DA" w:rsidRPr="00A62293">
        <w:rPr>
          <w:b/>
          <w:bCs/>
          <w:sz w:val="24"/>
          <w:szCs w:val="24"/>
          <w:lang w:val="en-NZ" w:eastAsia="zh-CN"/>
        </w:rPr>
        <w:t xml:space="preserve"> </w:t>
      </w:r>
      <w:r w:rsidR="00FC39DA" w:rsidRPr="00A62293">
        <w:rPr>
          <w:sz w:val="24"/>
          <w:szCs w:val="24"/>
          <w:lang w:val="en-NZ" w:eastAsia="zh-CN"/>
        </w:rPr>
        <w:t>22, 368.</w:t>
      </w:r>
    </w:p>
    <w:p w14:paraId="60AAABE8" w14:textId="77777777" w:rsidR="00FC39DA" w:rsidRPr="00A62293" w:rsidRDefault="00A62293" w:rsidP="00A62293">
      <w:pPr>
        <w:snapToGrid w:val="0"/>
        <w:ind w:left="270" w:right="-43" w:hanging="270"/>
        <w:jc w:val="both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6. </w:t>
      </w:r>
      <w:r w:rsidR="00F33706" w:rsidRPr="00A62293">
        <w:rPr>
          <w:sz w:val="24"/>
          <w:szCs w:val="24"/>
          <w:lang w:val="en-US"/>
        </w:rPr>
        <w:t xml:space="preserve">Peng, L.; Yang, S.; </w:t>
      </w:r>
      <w:proofErr w:type="spellStart"/>
      <w:r w:rsidR="00FC39DA" w:rsidRPr="00A62293">
        <w:rPr>
          <w:sz w:val="24"/>
          <w:szCs w:val="24"/>
          <w:lang w:val="en-NZ"/>
        </w:rPr>
        <w:t>Jawahery</w:t>
      </w:r>
      <w:proofErr w:type="spellEnd"/>
      <w:r w:rsidR="00FC39DA" w:rsidRPr="00A62293">
        <w:rPr>
          <w:sz w:val="24"/>
          <w:szCs w:val="24"/>
          <w:lang w:val="en-NZ"/>
        </w:rPr>
        <w:t>,</w:t>
      </w:r>
      <w:r w:rsidR="00F33706" w:rsidRPr="00A62293">
        <w:rPr>
          <w:sz w:val="24"/>
          <w:szCs w:val="24"/>
          <w:lang w:val="en-NZ"/>
        </w:rPr>
        <w:t xml:space="preserve"> S.</w:t>
      </w:r>
      <w:proofErr w:type="gramStart"/>
      <w:r w:rsidR="00F33706" w:rsidRPr="00A62293">
        <w:rPr>
          <w:sz w:val="24"/>
          <w:szCs w:val="24"/>
          <w:lang w:val="en-NZ"/>
        </w:rPr>
        <w:t>;</w:t>
      </w:r>
      <w:r w:rsidR="00FC39DA" w:rsidRPr="00A62293">
        <w:rPr>
          <w:sz w:val="24"/>
          <w:szCs w:val="24"/>
          <w:lang w:val="en-NZ"/>
        </w:rPr>
        <w:t xml:space="preserve">  </w:t>
      </w:r>
      <w:proofErr w:type="spellStart"/>
      <w:r w:rsidR="00FC39DA" w:rsidRPr="00A62293">
        <w:rPr>
          <w:sz w:val="24"/>
          <w:szCs w:val="24"/>
          <w:lang w:val="en-NZ"/>
        </w:rPr>
        <w:t>Moosavi</w:t>
      </w:r>
      <w:proofErr w:type="spellEnd"/>
      <w:proofErr w:type="gramEnd"/>
      <w:r w:rsidR="00FC39DA" w:rsidRPr="00A62293">
        <w:rPr>
          <w:sz w:val="24"/>
          <w:szCs w:val="24"/>
          <w:lang w:val="en-NZ"/>
        </w:rPr>
        <w:t>,</w:t>
      </w:r>
      <w:r w:rsidR="00F33706" w:rsidRPr="00A62293">
        <w:rPr>
          <w:sz w:val="24"/>
          <w:szCs w:val="24"/>
          <w:lang w:val="en-NZ"/>
        </w:rPr>
        <w:t xml:space="preserve"> S. M.;</w:t>
      </w:r>
      <w:r w:rsidR="00FC39DA" w:rsidRPr="00A62293">
        <w:rPr>
          <w:sz w:val="24"/>
          <w:szCs w:val="24"/>
          <w:lang w:val="en-NZ"/>
        </w:rPr>
        <w:t xml:space="preserve">  </w:t>
      </w:r>
      <w:proofErr w:type="spellStart"/>
      <w:r w:rsidR="00FC39DA" w:rsidRPr="00A62293">
        <w:rPr>
          <w:sz w:val="24"/>
          <w:szCs w:val="24"/>
          <w:lang w:val="en-NZ"/>
        </w:rPr>
        <w:t>Huckaba</w:t>
      </w:r>
      <w:proofErr w:type="spellEnd"/>
      <w:r w:rsidR="00FC39DA" w:rsidRPr="00A62293">
        <w:rPr>
          <w:sz w:val="24"/>
          <w:szCs w:val="24"/>
          <w:lang w:val="en-NZ"/>
        </w:rPr>
        <w:t>,</w:t>
      </w:r>
      <w:r w:rsidR="00F33706" w:rsidRPr="00A62293">
        <w:rPr>
          <w:sz w:val="24"/>
          <w:szCs w:val="24"/>
          <w:lang w:val="en-NZ"/>
        </w:rPr>
        <w:t xml:space="preserve"> A. J.; </w:t>
      </w:r>
      <w:proofErr w:type="spellStart"/>
      <w:r w:rsidR="00FC39DA" w:rsidRPr="00A62293">
        <w:rPr>
          <w:sz w:val="24"/>
          <w:szCs w:val="24"/>
          <w:lang w:val="en-NZ"/>
        </w:rPr>
        <w:t>Asgari</w:t>
      </w:r>
      <w:proofErr w:type="spellEnd"/>
      <w:r w:rsidR="00FC39DA" w:rsidRPr="00A62293">
        <w:rPr>
          <w:sz w:val="24"/>
          <w:szCs w:val="24"/>
          <w:lang w:val="en-NZ"/>
        </w:rPr>
        <w:t>,</w:t>
      </w:r>
      <w:r w:rsidR="00F33706" w:rsidRPr="00A62293">
        <w:rPr>
          <w:sz w:val="24"/>
          <w:szCs w:val="24"/>
          <w:lang w:val="en-NZ"/>
        </w:rPr>
        <w:t xml:space="preserve"> M.; </w:t>
      </w:r>
      <w:proofErr w:type="spellStart"/>
      <w:r w:rsidR="00FC39DA" w:rsidRPr="00A62293">
        <w:rPr>
          <w:sz w:val="24"/>
          <w:szCs w:val="24"/>
          <w:lang w:val="en-NZ"/>
        </w:rPr>
        <w:t>Oveisi</w:t>
      </w:r>
      <w:proofErr w:type="spellEnd"/>
      <w:r w:rsidR="00FC39DA" w:rsidRPr="00A62293">
        <w:rPr>
          <w:sz w:val="24"/>
          <w:szCs w:val="24"/>
          <w:lang w:val="en-NZ"/>
        </w:rPr>
        <w:t>,</w:t>
      </w:r>
      <w:r w:rsidR="00F33706" w:rsidRPr="00A62293">
        <w:rPr>
          <w:sz w:val="24"/>
          <w:szCs w:val="24"/>
          <w:lang w:val="en-NZ"/>
        </w:rPr>
        <w:t xml:space="preserve"> E.;</w:t>
      </w:r>
      <w:r w:rsidR="00FC39DA" w:rsidRPr="00A62293">
        <w:rPr>
          <w:sz w:val="24"/>
          <w:szCs w:val="24"/>
          <w:lang w:val="en-NZ"/>
        </w:rPr>
        <w:t xml:space="preserve"> </w:t>
      </w:r>
      <w:proofErr w:type="spellStart"/>
      <w:r w:rsidR="00FC39DA" w:rsidRPr="00A62293">
        <w:rPr>
          <w:sz w:val="24"/>
          <w:szCs w:val="24"/>
          <w:lang w:val="en-NZ"/>
        </w:rPr>
        <w:t>Nazeeruddin</w:t>
      </w:r>
      <w:proofErr w:type="spellEnd"/>
      <w:r w:rsidR="00FC39DA" w:rsidRPr="00A62293">
        <w:rPr>
          <w:sz w:val="24"/>
          <w:szCs w:val="24"/>
          <w:lang w:val="en-NZ"/>
        </w:rPr>
        <w:t>,</w:t>
      </w:r>
      <w:r w:rsidR="00F33706" w:rsidRPr="00A62293">
        <w:rPr>
          <w:sz w:val="24"/>
          <w:szCs w:val="24"/>
          <w:lang w:val="en-NZ"/>
        </w:rPr>
        <w:t xml:space="preserve"> </w:t>
      </w:r>
      <w:r w:rsidR="00F33706" w:rsidRPr="00A62293">
        <w:rPr>
          <w:sz w:val="24"/>
          <w:szCs w:val="24"/>
          <w:lang w:val="en-US"/>
        </w:rPr>
        <w:t xml:space="preserve">Md K.; </w:t>
      </w:r>
      <w:r w:rsidR="00FC39DA" w:rsidRPr="00A62293">
        <w:rPr>
          <w:sz w:val="24"/>
          <w:szCs w:val="24"/>
          <w:lang w:val="en-NZ"/>
        </w:rPr>
        <w:t>Smit,</w:t>
      </w:r>
      <w:r w:rsidR="00F33706" w:rsidRPr="00A62293">
        <w:rPr>
          <w:sz w:val="24"/>
          <w:szCs w:val="24"/>
          <w:lang w:val="en-NZ"/>
        </w:rPr>
        <w:t xml:space="preserve"> B.;</w:t>
      </w:r>
      <w:r w:rsidR="00FC39DA" w:rsidRPr="00A62293">
        <w:rPr>
          <w:sz w:val="24"/>
          <w:szCs w:val="24"/>
          <w:lang w:val="en-NZ"/>
        </w:rPr>
        <w:t xml:space="preserve"> Queen,</w:t>
      </w:r>
      <w:r w:rsidR="00F33706" w:rsidRPr="00A62293">
        <w:rPr>
          <w:sz w:val="24"/>
          <w:szCs w:val="24"/>
          <w:lang w:val="en-NZ"/>
        </w:rPr>
        <w:t xml:space="preserve"> W. L. </w:t>
      </w:r>
      <w:r w:rsidR="00FC39DA" w:rsidRPr="00A62293">
        <w:rPr>
          <w:sz w:val="24"/>
          <w:szCs w:val="24"/>
          <w:lang w:val="en-NZ"/>
        </w:rPr>
        <w:t xml:space="preserve"> </w:t>
      </w:r>
      <w:r w:rsidR="00FC39DA" w:rsidRPr="00A62293">
        <w:rPr>
          <w:rStyle w:val="Emphasis"/>
          <w:color w:val="000000"/>
          <w:sz w:val="24"/>
          <w:szCs w:val="24"/>
          <w:lang w:val="en-NZ"/>
        </w:rPr>
        <w:t>J. Am. Chem. Soc.</w:t>
      </w:r>
      <w:r w:rsidR="00FC39DA" w:rsidRPr="00A62293">
        <w:rPr>
          <w:color w:val="000000"/>
          <w:sz w:val="24"/>
          <w:szCs w:val="24"/>
          <w:lang w:val="en-NZ"/>
        </w:rPr>
        <w:t xml:space="preserve">, </w:t>
      </w:r>
      <w:r w:rsidR="00FC39DA" w:rsidRPr="00A62293">
        <w:rPr>
          <w:b/>
          <w:bCs/>
          <w:sz w:val="24"/>
          <w:szCs w:val="24"/>
          <w:lang w:val="en-NZ"/>
        </w:rPr>
        <w:t>2019</w:t>
      </w:r>
      <w:r w:rsidR="00FC39DA" w:rsidRPr="00A62293">
        <w:rPr>
          <w:sz w:val="24"/>
          <w:szCs w:val="24"/>
          <w:lang w:val="en-NZ"/>
        </w:rPr>
        <w:t xml:space="preserve">, 141, 12397. </w:t>
      </w:r>
    </w:p>
    <w:p w14:paraId="0E91D33A" w14:textId="77777777" w:rsidR="00F33706" w:rsidRPr="00A62293" w:rsidRDefault="00A62293" w:rsidP="00A62293">
      <w:pPr>
        <w:snapToGrid w:val="0"/>
        <w:ind w:left="270" w:hanging="270"/>
        <w:jc w:val="both"/>
        <w:rPr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 xml:space="preserve">7. </w:t>
      </w:r>
      <w:r w:rsidR="00F33706" w:rsidRPr="00A62293">
        <w:rPr>
          <w:sz w:val="24"/>
          <w:szCs w:val="24"/>
          <w:lang w:val="en-US"/>
        </w:rPr>
        <w:t xml:space="preserve">Yang, S.; Peng, L.; Sun, D; </w:t>
      </w:r>
      <w:proofErr w:type="spellStart"/>
      <w:r w:rsidR="00F33706" w:rsidRPr="00A62293">
        <w:rPr>
          <w:bCs/>
          <w:iCs/>
          <w:sz w:val="24"/>
          <w:szCs w:val="24"/>
          <w:lang w:val="en-US"/>
        </w:rPr>
        <w:t>Asgari</w:t>
      </w:r>
      <w:proofErr w:type="spellEnd"/>
      <w:r w:rsidR="00F33706" w:rsidRPr="00A62293">
        <w:rPr>
          <w:bCs/>
          <w:iCs/>
          <w:sz w:val="24"/>
          <w:szCs w:val="24"/>
          <w:lang w:val="en-US"/>
        </w:rPr>
        <w:t xml:space="preserve">, M.; </w:t>
      </w:r>
      <w:proofErr w:type="spellStart"/>
      <w:r w:rsidR="00F33706" w:rsidRPr="00A62293">
        <w:rPr>
          <w:bCs/>
          <w:iCs/>
          <w:sz w:val="24"/>
          <w:szCs w:val="24"/>
          <w:lang w:val="en-US"/>
        </w:rPr>
        <w:t>Oveisi</w:t>
      </w:r>
      <w:proofErr w:type="spellEnd"/>
      <w:r w:rsidR="00F33706" w:rsidRPr="00A62293">
        <w:rPr>
          <w:bCs/>
          <w:iCs/>
          <w:sz w:val="24"/>
          <w:szCs w:val="24"/>
          <w:lang w:val="en-US"/>
        </w:rPr>
        <w:t xml:space="preserve">, E.; </w:t>
      </w:r>
      <w:proofErr w:type="spellStart"/>
      <w:r w:rsidR="00F33706" w:rsidRPr="00A62293">
        <w:rPr>
          <w:bCs/>
          <w:iCs/>
          <w:sz w:val="24"/>
          <w:szCs w:val="24"/>
          <w:lang w:val="en-US"/>
        </w:rPr>
        <w:t>Trukhina</w:t>
      </w:r>
      <w:proofErr w:type="spellEnd"/>
      <w:r w:rsidR="00F33706" w:rsidRPr="00A62293">
        <w:rPr>
          <w:bCs/>
          <w:iCs/>
          <w:sz w:val="24"/>
          <w:szCs w:val="24"/>
          <w:lang w:val="en-US"/>
        </w:rPr>
        <w:t xml:space="preserve">, O.; </w:t>
      </w:r>
      <w:proofErr w:type="spellStart"/>
      <w:r w:rsidR="00F33706" w:rsidRPr="00A62293">
        <w:rPr>
          <w:bCs/>
          <w:iCs/>
          <w:sz w:val="24"/>
          <w:szCs w:val="24"/>
          <w:lang w:val="en-US"/>
        </w:rPr>
        <w:t>Bulut</w:t>
      </w:r>
      <w:proofErr w:type="spellEnd"/>
      <w:r w:rsidR="00F33706" w:rsidRPr="00A62293">
        <w:rPr>
          <w:bCs/>
          <w:iCs/>
          <w:sz w:val="24"/>
          <w:szCs w:val="24"/>
          <w:lang w:val="en-US"/>
        </w:rPr>
        <w:t xml:space="preserve">, S.; Jamali, A.; Queen, W. L. </w:t>
      </w:r>
      <w:r w:rsidR="00F33706" w:rsidRPr="00A62293">
        <w:rPr>
          <w:bCs/>
          <w:i/>
          <w:sz w:val="24"/>
          <w:szCs w:val="24"/>
          <w:lang w:val="en-US"/>
        </w:rPr>
        <w:t>Chem. Sci.</w:t>
      </w:r>
      <w:r w:rsidR="00F33706" w:rsidRPr="00A62293">
        <w:rPr>
          <w:bCs/>
          <w:iCs/>
          <w:sz w:val="24"/>
          <w:szCs w:val="24"/>
          <w:lang w:val="en-US"/>
        </w:rPr>
        <w:t xml:space="preserve"> </w:t>
      </w:r>
      <w:r w:rsidR="00F33706" w:rsidRPr="00A62293">
        <w:rPr>
          <w:b/>
          <w:bCs/>
          <w:iCs/>
          <w:sz w:val="24"/>
          <w:szCs w:val="24"/>
          <w:lang w:val="en-US"/>
        </w:rPr>
        <w:t>2019</w:t>
      </w:r>
      <w:r w:rsidR="00F33706" w:rsidRPr="00A62293">
        <w:rPr>
          <w:bCs/>
          <w:iCs/>
          <w:sz w:val="24"/>
          <w:szCs w:val="24"/>
          <w:lang w:val="en-US"/>
        </w:rPr>
        <w:t xml:space="preserve">, </w:t>
      </w:r>
      <w:r w:rsidR="00F33706" w:rsidRPr="00A62293">
        <w:rPr>
          <w:sz w:val="24"/>
          <w:szCs w:val="24"/>
          <w:lang w:val="en-US"/>
        </w:rPr>
        <w:t xml:space="preserve">10, 4542. </w:t>
      </w:r>
    </w:p>
    <w:p w14:paraId="0B6119C9" w14:textId="77777777" w:rsidR="00F33706" w:rsidRPr="00A62293" w:rsidRDefault="00F33706" w:rsidP="00FC39DA">
      <w:pPr>
        <w:snapToGrid w:val="0"/>
        <w:ind w:right="-43"/>
        <w:jc w:val="both"/>
        <w:rPr>
          <w:sz w:val="24"/>
          <w:szCs w:val="24"/>
          <w:lang w:val="en-NZ" w:eastAsia="zh-CN"/>
        </w:rPr>
      </w:pPr>
    </w:p>
    <w:p w14:paraId="2726F2F6" w14:textId="77777777" w:rsidR="00FC39DA" w:rsidRPr="00A62293" w:rsidRDefault="00FC39DA">
      <w:pPr>
        <w:rPr>
          <w:sz w:val="24"/>
          <w:szCs w:val="24"/>
          <w:lang w:val="en-GB"/>
        </w:rPr>
      </w:pPr>
    </w:p>
    <w:sectPr w:rsidR="00FC39DA" w:rsidRPr="00A62293" w:rsidSect="0003441D">
      <w:headerReference w:type="default" r:id="rId7"/>
      <w:pgSz w:w="11906" w:h="16838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8645" w14:textId="77777777" w:rsidR="007B400E" w:rsidRDefault="007B400E" w:rsidP="00310B80">
      <w:r>
        <w:separator/>
      </w:r>
    </w:p>
  </w:endnote>
  <w:endnote w:type="continuationSeparator" w:id="0">
    <w:p w14:paraId="046FB510" w14:textId="77777777" w:rsidR="007B400E" w:rsidRDefault="007B400E" w:rsidP="0031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9106" w14:textId="77777777" w:rsidR="007B400E" w:rsidRDefault="007B400E" w:rsidP="00310B80">
      <w:r>
        <w:separator/>
      </w:r>
    </w:p>
  </w:footnote>
  <w:footnote w:type="continuationSeparator" w:id="0">
    <w:p w14:paraId="3913E81B" w14:textId="77777777" w:rsidR="007B400E" w:rsidRDefault="007B400E" w:rsidP="0031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FA6D" w14:textId="77777777" w:rsidR="0003441D" w:rsidRPr="0003441D" w:rsidRDefault="0003441D" w:rsidP="0003441D">
    <w:pPr>
      <w:pStyle w:val="Header"/>
      <w:jc w:val="center"/>
      <w:rPr>
        <w:rFonts w:ascii="Arial" w:hAnsi="Arial" w:cs="Arial"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B6019"/>
    <w:multiLevelType w:val="hybridMultilevel"/>
    <w:tmpl w:val="D84452B6"/>
    <w:lvl w:ilvl="0" w:tplc="8D58134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642219"/>
    <w:multiLevelType w:val="hybridMultilevel"/>
    <w:tmpl w:val="8B54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12"/>
    <w:rsid w:val="0003441D"/>
    <w:rsid w:val="000D69A7"/>
    <w:rsid w:val="0014216E"/>
    <w:rsid w:val="0017146F"/>
    <w:rsid w:val="001A05A2"/>
    <w:rsid w:val="002831BC"/>
    <w:rsid w:val="002A008F"/>
    <w:rsid w:val="00310B80"/>
    <w:rsid w:val="0047575E"/>
    <w:rsid w:val="004C2184"/>
    <w:rsid w:val="004C53BB"/>
    <w:rsid w:val="00580571"/>
    <w:rsid w:val="00642C5D"/>
    <w:rsid w:val="00685E04"/>
    <w:rsid w:val="006C5882"/>
    <w:rsid w:val="007A7786"/>
    <w:rsid w:val="007B400E"/>
    <w:rsid w:val="007B5792"/>
    <w:rsid w:val="007D210A"/>
    <w:rsid w:val="007F4D7D"/>
    <w:rsid w:val="00840C39"/>
    <w:rsid w:val="0089526F"/>
    <w:rsid w:val="008F03DB"/>
    <w:rsid w:val="008F44D3"/>
    <w:rsid w:val="00900A7E"/>
    <w:rsid w:val="009133D5"/>
    <w:rsid w:val="00917D9C"/>
    <w:rsid w:val="00940F9E"/>
    <w:rsid w:val="009C50AD"/>
    <w:rsid w:val="009F3B17"/>
    <w:rsid w:val="00A179AB"/>
    <w:rsid w:val="00A62293"/>
    <w:rsid w:val="00A87F12"/>
    <w:rsid w:val="00AB0523"/>
    <w:rsid w:val="00AB116D"/>
    <w:rsid w:val="00B10A46"/>
    <w:rsid w:val="00B45901"/>
    <w:rsid w:val="00B802DF"/>
    <w:rsid w:val="00BA5107"/>
    <w:rsid w:val="00BC5FC6"/>
    <w:rsid w:val="00C341B3"/>
    <w:rsid w:val="00C36FA2"/>
    <w:rsid w:val="00C528AA"/>
    <w:rsid w:val="00D014D0"/>
    <w:rsid w:val="00D60B48"/>
    <w:rsid w:val="00E17B69"/>
    <w:rsid w:val="00E4432C"/>
    <w:rsid w:val="00EB1881"/>
    <w:rsid w:val="00F33706"/>
    <w:rsid w:val="00F6335E"/>
    <w:rsid w:val="00F802FC"/>
    <w:rsid w:val="00FB5208"/>
    <w:rsid w:val="00FC39DA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93A66A"/>
  <w14:defaultImageDpi w14:val="0"/>
  <w15:docId w15:val="{A310F704-E373-044C-880B-EF04ED9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fr-FR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/>
      <w:autoSpaceDN/>
      <w:jc w:val="center"/>
      <w:outlineLvl w:val="1"/>
    </w:pPr>
    <w:rPr>
      <w:rFonts w:ascii="Trebuchet MS" w:hAnsi="Trebuchet MS" w:cs="Trebuchet MS"/>
      <w:b/>
      <w:bCs/>
      <w:color w:val="FF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x-non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8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310B80"/>
    <w:rPr>
      <w:rFonts w:cs="Times New Roman"/>
      <w:sz w:val="20"/>
      <w:szCs w:val="20"/>
      <w:lang w:val="fr-FR" w:eastAsia="x-none"/>
    </w:rPr>
  </w:style>
  <w:style w:type="paragraph" w:styleId="Footer">
    <w:name w:val="footer"/>
    <w:basedOn w:val="Normal"/>
    <w:link w:val="FooterChar"/>
    <w:uiPriority w:val="99"/>
    <w:unhideWhenUsed/>
    <w:rsid w:val="00310B8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310B80"/>
    <w:rPr>
      <w:rFonts w:cs="Times New Roman"/>
      <w:sz w:val="20"/>
      <w:szCs w:val="20"/>
      <w:lang w:val="fr-FR" w:eastAsia="x-none"/>
    </w:rPr>
  </w:style>
  <w:style w:type="character" w:styleId="Emphasis">
    <w:name w:val="Emphasis"/>
    <w:uiPriority w:val="20"/>
    <w:qFormat/>
    <w:rsid w:val="00FC3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7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2576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TITRE : ARIAL, 14 POINTS, GRAS, MAJUSCULES, CENTRÉ, INTERLIGNE SIMPLE</vt:lpstr>
      <vt:lpstr>TITRE : ARIAL, 14 POINTS, GRAS, MAJUSCULES, CENTRÉ, INTERLIGNE SIMPLE</vt:lpstr>
    </vt:vector>
  </TitlesOfParts>
  <Company>ENSCL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 ARIAL, 14 POINTS, GRAS, MAJUSCULES, CENTRÉ, INTERLIGNE SIMPLE</dc:title>
  <dc:subject/>
  <dc:creator>Francine</dc:creator>
  <cp:keywords/>
  <dc:description/>
  <cp:lastModifiedBy>Schwickrath, Helen L.</cp:lastModifiedBy>
  <cp:revision>2</cp:revision>
  <cp:lastPrinted>2007-07-23T15:40:00Z</cp:lastPrinted>
  <dcterms:created xsi:type="dcterms:W3CDTF">2021-02-16T19:56:00Z</dcterms:created>
  <dcterms:modified xsi:type="dcterms:W3CDTF">2021-02-16T19:56:00Z</dcterms:modified>
</cp:coreProperties>
</file>